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B6" w:rsidRPr="001221D1" w:rsidRDefault="005807B6" w:rsidP="005807B6">
      <w:pPr>
        <w:spacing w:line="36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2140" cy="914400"/>
            <wp:effectExtent l="0" t="0" r="0" b="0"/>
            <wp:docPr id="1" name="Immagine 1" descr="logo%20anci%20do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%20anci%20dora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B6" w:rsidRPr="001221D1" w:rsidRDefault="005807B6" w:rsidP="005807B6">
      <w:pPr>
        <w:spacing w:line="360" w:lineRule="auto"/>
        <w:jc w:val="both"/>
        <w:rPr>
          <w:noProof/>
        </w:rPr>
      </w:pPr>
    </w:p>
    <w:p w:rsidR="005807B6" w:rsidRPr="00A57C32" w:rsidRDefault="005807B6" w:rsidP="005807B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7C32">
        <w:rPr>
          <w:b/>
        </w:rPr>
        <w:t xml:space="preserve">Nota di lettura </w:t>
      </w:r>
      <w:r w:rsidR="00EF6FEF">
        <w:rPr>
          <w:b/>
        </w:rPr>
        <w:t>del</w:t>
      </w:r>
      <w:r w:rsidRPr="00A57C32">
        <w:rPr>
          <w:b/>
        </w:rPr>
        <w:t>l’articolo 2, della legge 23/2014 recante “Delega al Governo recante disposizioni per un sistema fiscale più equo, trasparente e orientato alla crescita”, in materia di catasto</w:t>
      </w:r>
    </w:p>
    <w:p w:rsidR="005807B6" w:rsidRPr="00A57C32" w:rsidRDefault="005807B6" w:rsidP="005807B6">
      <w:pPr>
        <w:spacing w:line="360" w:lineRule="auto"/>
        <w:jc w:val="both"/>
        <w:rPr>
          <w:b/>
          <w:i/>
        </w:rPr>
      </w:pPr>
    </w:p>
    <w:p w:rsidR="005807B6" w:rsidRPr="001221D1" w:rsidRDefault="005807B6" w:rsidP="005807B6">
      <w:pPr>
        <w:spacing w:line="360" w:lineRule="auto"/>
        <w:jc w:val="both"/>
      </w:pPr>
      <w:r w:rsidRPr="00A57C32">
        <w:t>La legge 23 del 11 marzo 2014, pubblicata sulla GU n. 59 del 12</w:t>
      </w:r>
      <w:r w:rsidR="003A6ACF">
        <w:t xml:space="preserve"> marzo </w:t>
      </w:r>
      <w:r w:rsidRPr="00A57C32">
        <w:t>2014</w:t>
      </w:r>
      <w:r w:rsidR="003A6ACF">
        <w:t>,</w:t>
      </w:r>
      <w:r w:rsidRPr="00A57C32">
        <w:t xml:space="preserve"> recante “Delega al Governo recante disposizioni per un sistema fiscale più equo, trasparente e </w:t>
      </w:r>
      <w:r w:rsidR="00EF6FEF">
        <w:t>orientato alla crescita”, c.d. Delega fiscale</w:t>
      </w:r>
      <w:r w:rsidRPr="00A57C32">
        <w:t>, prevede un</w:t>
      </w:r>
      <w:r>
        <w:t>’ampia</w:t>
      </w:r>
      <w:r w:rsidRPr="00A57C32">
        <w:t xml:space="preserve"> riforma del sistema fiscale </w:t>
      </w:r>
      <w:r>
        <w:t xml:space="preserve">finalizzata a </w:t>
      </w:r>
      <w:r w:rsidRPr="001221D1">
        <w:t xml:space="preserve">razionalizzare il sistema </w:t>
      </w:r>
      <w:r>
        <w:t>tributario</w:t>
      </w:r>
      <w:r w:rsidRPr="001221D1">
        <w:t>, contrastare l’evasione, l’elusione e l’erosione nonch</w:t>
      </w:r>
      <w:r>
        <w:t>é</w:t>
      </w:r>
      <w:r w:rsidRPr="001221D1">
        <w:t xml:space="preserve"> </w:t>
      </w:r>
      <w:r>
        <w:t xml:space="preserve">a </w:t>
      </w:r>
      <w:r w:rsidRPr="001221D1">
        <w:t xml:space="preserve">porre le basi per un rapporto fiduciario con i cittadini. </w:t>
      </w:r>
    </w:p>
    <w:p w:rsidR="005807B6" w:rsidRPr="001221D1" w:rsidRDefault="005807B6" w:rsidP="005807B6">
      <w:pPr>
        <w:spacing w:line="360" w:lineRule="auto"/>
        <w:jc w:val="both"/>
      </w:pPr>
      <w:r w:rsidRPr="001221D1">
        <w:t xml:space="preserve">Il provvedimento prevede l’adozione, </w:t>
      </w:r>
      <w:r>
        <w:t>“</w:t>
      </w:r>
      <w:r w:rsidRPr="001221D1">
        <w:t>entro 12 mesi</w:t>
      </w:r>
      <w:r>
        <w:t>”</w:t>
      </w:r>
      <w:r w:rsidRPr="001221D1">
        <w:t xml:space="preserve"> dall’entrata in vigore della legge delega, </w:t>
      </w:r>
      <w:r>
        <w:t xml:space="preserve">di numerosi </w:t>
      </w:r>
      <w:r w:rsidRPr="001221D1">
        <w:t>decreti legislativi di attuazione</w:t>
      </w:r>
      <w:r>
        <w:t>;</w:t>
      </w:r>
      <w:r w:rsidRPr="001221D1">
        <w:t xml:space="preserve"> </w:t>
      </w:r>
      <w:r>
        <w:t xml:space="preserve">è </w:t>
      </w:r>
      <w:r w:rsidRPr="001221D1">
        <w:t xml:space="preserve">pertanto </w:t>
      </w:r>
      <w:r>
        <w:t>presumibile</w:t>
      </w:r>
      <w:r w:rsidRPr="001221D1">
        <w:t xml:space="preserve"> che il percorso </w:t>
      </w:r>
      <w:r>
        <w:t xml:space="preserve">della riforma </w:t>
      </w:r>
      <w:r w:rsidRPr="001221D1">
        <w:t>si compia solo dopo qualche anno rispetto all’emanazione d</w:t>
      </w:r>
      <w:r>
        <w:t>i tali</w:t>
      </w:r>
      <w:r w:rsidRPr="001221D1">
        <w:t xml:space="preserve"> atti normativi.</w:t>
      </w:r>
    </w:p>
    <w:p w:rsidR="005807B6" w:rsidRDefault="005807B6" w:rsidP="005807B6">
      <w:pPr>
        <w:spacing w:line="360" w:lineRule="auto"/>
        <w:jc w:val="both"/>
      </w:pPr>
      <w:r>
        <w:t xml:space="preserve">Tra gli aspetti </w:t>
      </w:r>
      <w:r w:rsidRPr="00593167">
        <w:t>essenzial</w:t>
      </w:r>
      <w:r>
        <w:t xml:space="preserve">i della delega si evidenzia </w:t>
      </w:r>
      <w:r w:rsidRPr="00593167">
        <w:t>la previs</w:t>
      </w:r>
      <w:r>
        <w:t>ione</w:t>
      </w:r>
      <w:r w:rsidRPr="00593167">
        <w:t xml:space="preserve"> della revisione del catasto</w:t>
      </w:r>
      <w:r>
        <w:t>,</w:t>
      </w:r>
      <w:r w:rsidRPr="00593167">
        <w:t xml:space="preserve"> contenuta nell’articolo 2 del provvedimento, intitolato appunto “</w:t>
      </w:r>
      <w:r w:rsidRPr="00593167">
        <w:rPr>
          <w:i/>
          <w:iCs/>
        </w:rPr>
        <w:t>Revisione del catasto dei fabbricati”</w:t>
      </w:r>
      <w:r w:rsidRPr="00593167">
        <w:t xml:space="preserve">. </w:t>
      </w:r>
      <w:r>
        <w:t xml:space="preserve"> Si tratta di un intervento atteso da molti anni ed anzi rimasto incompiuto dopo un primo avvio già determinato con l’emanazione del </w:t>
      </w:r>
      <w:proofErr w:type="spellStart"/>
      <w:r>
        <w:t>d.p.r</w:t>
      </w:r>
      <w:proofErr w:type="spellEnd"/>
      <w:r>
        <w:t xml:space="preserve"> n. 138 del 1998.</w:t>
      </w:r>
    </w:p>
    <w:p w:rsidR="002F509E" w:rsidRPr="00593167" w:rsidRDefault="002F509E" w:rsidP="005807B6">
      <w:pPr>
        <w:spacing w:line="360" w:lineRule="auto"/>
        <w:jc w:val="both"/>
      </w:pPr>
    </w:p>
    <w:p w:rsidR="005807B6" w:rsidRPr="00EF6FEF" w:rsidRDefault="005807B6" w:rsidP="005807B6">
      <w:pPr>
        <w:pStyle w:val="Default"/>
        <w:spacing w:line="360" w:lineRule="auto"/>
        <w:jc w:val="both"/>
      </w:pPr>
      <w:r>
        <w:t>L’articolo 2 dell</w:t>
      </w:r>
      <w:r w:rsidR="002F509E">
        <w:t xml:space="preserve">a delega prevede, </w:t>
      </w:r>
      <w:r w:rsidRPr="00A43AD3">
        <w:rPr>
          <w:i/>
        </w:rPr>
        <w:t>comma 1</w:t>
      </w:r>
      <w:r w:rsidR="002F509E">
        <w:rPr>
          <w:i/>
        </w:rPr>
        <w:t xml:space="preserve">, </w:t>
      </w:r>
      <w:r w:rsidRPr="001221D1">
        <w:t>che il Governo effettui</w:t>
      </w:r>
      <w:r w:rsidR="002F509E">
        <w:t>,</w:t>
      </w:r>
      <w:r w:rsidRPr="001221D1">
        <w:t xml:space="preserve"> con l’emanazione dei succitati decreti, una revisione della disciplina del sistema estimativo del catasto fabbricati</w:t>
      </w:r>
      <w:r>
        <w:t xml:space="preserve"> -</w:t>
      </w:r>
      <w:r w:rsidRPr="001221D1">
        <w:t xml:space="preserve"> in collaborazione con i Comuni sui quali gli stessi insistono</w:t>
      </w:r>
      <w:r>
        <w:t xml:space="preserve"> -</w:t>
      </w:r>
      <w:r w:rsidRPr="001221D1">
        <w:t xml:space="preserve"> assicurando il coordinamento con il </w:t>
      </w:r>
      <w:r w:rsidRPr="00EF6FEF">
        <w:t>processo di attivazione delle funzioni catastali decentrate, ai sensi della l</w:t>
      </w:r>
      <w:r w:rsidR="00EF6FEF" w:rsidRPr="00EF6FEF">
        <w:t xml:space="preserve">egislazione vigente in materia nonché con </w:t>
      </w:r>
      <w:r w:rsidR="007224B9" w:rsidRPr="00EF6FEF">
        <w:t>l’attribuzione ai Comuni della conservazione, utilizzazione ed aggiornamento degli atti catastali e partecipazione al processo di determinazione degli estimi catastali, al netto delle funzioni mantenute dalla Stato (già disposta</w:t>
      </w:r>
      <w:r w:rsidRPr="00EF6FEF">
        <w:t xml:space="preserve"> dall’articolo 66, comma 1, </w:t>
      </w:r>
      <w:proofErr w:type="spellStart"/>
      <w:r w:rsidRPr="00EF6FEF">
        <w:t>let</w:t>
      </w:r>
      <w:proofErr w:type="spellEnd"/>
      <w:r w:rsidR="007224B9" w:rsidRPr="00EF6FEF">
        <w:t>.</w:t>
      </w:r>
      <w:r w:rsidRPr="00EF6FEF">
        <w:t xml:space="preserve"> </w:t>
      </w:r>
      <w:proofErr w:type="gramStart"/>
      <w:r w:rsidRPr="00EF6FEF">
        <w:rPr>
          <w:i/>
          <w:iCs/>
        </w:rPr>
        <w:t>a</w:t>
      </w:r>
      <w:proofErr w:type="gramEnd"/>
      <w:r w:rsidRPr="00EF6FEF">
        <w:rPr>
          <w:i/>
          <w:iCs/>
        </w:rPr>
        <w:t>)</w:t>
      </w:r>
      <w:r w:rsidRPr="00EF6FEF">
        <w:t>, del d</w:t>
      </w:r>
      <w:r w:rsidR="007224B9" w:rsidRPr="00EF6FEF">
        <w:t xml:space="preserve">. </w:t>
      </w:r>
      <w:proofErr w:type="spellStart"/>
      <w:r w:rsidR="007224B9" w:rsidRPr="00EF6FEF">
        <w:t>lgs</w:t>
      </w:r>
      <w:proofErr w:type="spellEnd"/>
      <w:r w:rsidR="007224B9" w:rsidRPr="00EF6FEF">
        <w:t xml:space="preserve">. 112/98 </w:t>
      </w:r>
      <w:proofErr w:type="spellStart"/>
      <w:r w:rsidRPr="00EF6FEF">
        <w:t>s.m.i.</w:t>
      </w:r>
      <w:proofErr w:type="spellEnd"/>
      <w:r w:rsidR="007224B9" w:rsidRPr="00EF6FEF">
        <w:t>)</w:t>
      </w:r>
      <w:r w:rsidRPr="00EF6FEF">
        <w:t xml:space="preserve"> e </w:t>
      </w:r>
      <w:r w:rsidR="00EF6FEF" w:rsidRPr="00EF6FEF">
        <w:t xml:space="preserve">l’assegnazione ai Comuni stessi del “catasto” quale funzione fondamentale (ad eccezione delle funzioni mantenute allo Stato, ai sensi </w:t>
      </w:r>
      <w:r w:rsidRPr="00EF6FEF">
        <w:t>dall’articolo 14, comma 27, del dl 78</w:t>
      </w:r>
      <w:r w:rsidR="00EF6FEF" w:rsidRPr="00EF6FEF">
        <w:t>/10</w:t>
      </w:r>
      <w:r w:rsidRPr="00EF6FEF">
        <w:t xml:space="preserve"> </w:t>
      </w:r>
      <w:proofErr w:type="spellStart"/>
      <w:r w:rsidRPr="00EF6FEF">
        <w:t>s.m.i.</w:t>
      </w:r>
      <w:proofErr w:type="spellEnd"/>
      <w:r w:rsidR="00EF6FEF" w:rsidRPr="00EF6FEF">
        <w:t>).</w:t>
      </w:r>
      <w:r w:rsidRPr="00EF6FEF">
        <w:t xml:space="preserve"> </w:t>
      </w:r>
    </w:p>
    <w:p w:rsidR="005807B6" w:rsidRPr="00593167" w:rsidRDefault="005807B6" w:rsidP="005807B6">
      <w:pPr>
        <w:pStyle w:val="Default"/>
        <w:spacing w:line="360" w:lineRule="auto"/>
        <w:jc w:val="both"/>
      </w:pPr>
      <w:r w:rsidRPr="00EF6FEF">
        <w:t>Diversamente dall’attuale regime, basato sull’attribuzione di una rendita (rendimento normale) a</w:t>
      </w:r>
      <w:r>
        <w:t xml:space="preserve"> ciascun fabbricato, la delega prevede invece di </w:t>
      </w:r>
      <w:r w:rsidRPr="00593167">
        <w:t>attribuire a ciascuna</w:t>
      </w:r>
      <w:r w:rsidRPr="001221D1">
        <w:t xml:space="preserve"> unità immobiliare sia il </w:t>
      </w:r>
      <w:r w:rsidRPr="00593167">
        <w:rPr>
          <w:b/>
        </w:rPr>
        <w:t>valore patrimoniale medio ordinario</w:t>
      </w:r>
      <w:r>
        <w:t xml:space="preserve"> che </w:t>
      </w:r>
      <w:r w:rsidRPr="00593167">
        <w:t xml:space="preserve">la </w:t>
      </w:r>
      <w:r w:rsidRPr="00593167">
        <w:rPr>
          <w:b/>
        </w:rPr>
        <w:t>rendita media ordinaria</w:t>
      </w:r>
      <w:r w:rsidRPr="00593167">
        <w:t>.</w:t>
      </w:r>
      <w:r>
        <w:t xml:space="preserve"> </w:t>
      </w:r>
    </w:p>
    <w:p w:rsidR="005807B6" w:rsidRPr="001221D1" w:rsidRDefault="005807B6" w:rsidP="005807B6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Per </w:t>
      </w:r>
      <w:r w:rsidRPr="001221D1">
        <w:t xml:space="preserve">l’attribuzione dei </w:t>
      </w:r>
      <w:r>
        <w:t xml:space="preserve">tali </w:t>
      </w:r>
      <w:proofErr w:type="gramStart"/>
      <w:r>
        <w:t>nuovi ,</w:t>
      </w:r>
      <w:proofErr w:type="gramEnd"/>
      <w:r>
        <w:t xml:space="preserve"> in particolare</w:t>
      </w:r>
      <w:r w:rsidRPr="001221D1">
        <w:t xml:space="preserve"> per le </w:t>
      </w:r>
      <w:r w:rsidRPr="00593167">
        <w:rPr>
          <w:b/>
        </w:rPr>
        <w:t>unità immobiliari urbane censite nel catasto dei fabbricati</w:t>
      </w:r>
      <w:r w:rsidRPr="001221D1">
        <w:t xml:space="preserve">, </w:t>
      </w:r>
      <w:r>
        <w:t xml:space="preserve">lo stesso comma 1, indica </w:t>
      </w:r>
      <w:r w:rsidRPr="001221D1">
        <w:t xml:space="preserve">una serie </w:t>
      </w:r>
      <w:r>
        <w:t xml:space="preserve">articolata </w:t>
      </w:r>
      <w:r w:rsidRPr="001221D1">
        <w:t>di princìpi e criteri direttivi, fra i quali i più significativi:</w:t>
      </w:r>
    </w:p>
    <w:p w:rsidR="005807B6" w:rsidRDefault="005807B6" w:rsidP="005807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1221D1">
        <w:t>assicurare</w:t>
      </w:r>
      <w:proofErr w:type="gramEnd"/>
      <w:r w:rsidRPr="001221D1">
        <w:t>, in base alle norme vigenti, il coinvolgimento dei comuni ovvero delle unioni o delle associazioni di comuni, anche al fine di assoggettare a tassazione gli immobili ancora non censiti, coordinando il processo di attivazione delle funzioni catastali decentrate</w:t>
      </w:r>
      <w:r>
        <w:t xml:space="preserve"> già previsto dalla legislazione oggi vigente (</w:t>
      </w:r>
      <w:proofErr w:type="spellStart"/>
      <w:r>
        <w:t>lett</w:t>
      </w:r>
      <w:proofErr w:type="spellEnd"/>
      <w:r>
        <w:t>. a)</w:t>
      </w:r>
      <w:r w:rsidRPr="001221D1">
        <w:t>;</w:t>
      </w:r>
    </w:p>
    <w:p w:rsidR="005807B6" w:rsidRDefault="005807B6" w:rsidP="005807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1221D1">
        <w:t>prevedere strumenti, da porre a disposizione dei comuni e dell’Agenzia delle entrate, atti a facilitare l’individuazione e il corretto classamento degli immobili rispetto a specifiche situazioni di non conformità nonché degli immobili abusivi, incentivando e valorizzando le attività di accertamento comunale, e definire la condivisione dei dati e dei documenti, in via telematica, tra l’Agenzia delle entrate e i competenti uffici comunali</w:t>
      </w:r>
      <w:r>
        <w:t xml:space="preserve"> (</w:t>
      </w:r>
      <w:proofErr w:type="spellStart"/>
      <w:r>
        <w:t>lett</w:t>
      </w:r>
      <w:proofErr w:type="spellEnd"/>
      <w:r>
        <w:t>. b) nonché sistematizzare gli strumenti di controllo attraverso la rilevazione aerea, già utilizzata su larga scala per il recupero dei c.d. “immobili fantasma” (</w:t>
      </w:r>
      <w:proofErr w:type="spellStart"/>
      <w:r>
        <w:t>lett</w:t>
      </w:r>
      <w:proofErr w:type="spellEnd"/>
      <w:r>
        <w:t>. c);</w:t>
      </w:r>
    </w:p>
    <w:p w:rsidR="005807B6" w:rsidRDefault="005807B6" w:rsidP="005807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1221D1">
        <w:t>definire</w:t>
      </w:r>
      <w:proofErr w:type="gramEnd"/>
      <w:r w:rsidRPr="001221D1">
        <w:t xml:space="preserve"> gli ambiti territoriali del mer</w:t>
      </w:r>
      <w:r>
        <w:t>cato immobiliare di riferimento (</w:t>
      </w:r>
      <w:proofErr w:type="spellStart"/>
      <w:r>
        <w:t>lett</w:t>
      </w:r>
      <w:proofErr w:type="spellEnd"/>
      <w:r>
        <w:t>. d);</w:t>
      </w:r>
    </w:p>
    <w:p w:rsidR="005807B6" w:rsidRPr="00593167" w:rsidRDefault="005807B6" w:rsidP="005807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593167">
        <w:t>valorizzare</w:t>
      </w:r>
      <w:proofErr w:type="gramEnd"/>
      <w:r w:rsidRPr="00593167">
        <w:t xml:space="preserve"> e stabilizzare le esperienze di decentramento catastale comunale già avviate in via sperimentale, affinché possano costituire modelli gestionali di riferimento flessibili e adattabili </w:t>
      </w:r>
      <w:r>
        <w:t xml:space="preserve">alle diversità </w:t>
      </w:r>
      <w:r w:rsidRPr="00593167">
        <w:t>territori</w:t>
      </w:r>
      <w:r>
        <w:t>ali</w:t>
      </w:r>
      <w:r w:rsidRPr="00593167">
        <w:t xml:space="preserve">, semplificando le procedure </w:t>
      </w:r>
      <w:r>
        <w:t xml:space="preserve">per il decentramento, </w:t>
      </w:r>
      <w:r w:rsidRPr="00593167">
        <w:t xml:space="preserve">anche </w:t>
      </w:r>
      <w:r>
        <w:t xml:space="preserve">ai fini della </w:t>
      </w:r>
      <w:r w:rsidRPr="00593167">
        <w:t xml:space="preserve">regolarizzazione degli immobili di proprietà pubblica </w:t>
      </w:r>
      <w:proofErr w:type="spellStart"/>
      <w:r>
        <w:t>nonchè</w:t>
      </w:r>
      <w:proofErr w:type="spellEnd"/>
      <w:r w:rsidRPr="00593167">
        <w:t xml:space="preserve"> di incasso e riversamento di diritti e tributi speciali catastali</w:t>
      </w:r>
      <w:r>
        <w:t xml:space="preserve"> (</w:t>
      </w:r>
      <w:proofErr w:type="spellStart"/>
      <w:r>
        <w:t>lett</w:t>
      </w:r>
      <w:proofErr w:type="spellEnd"/>
      <w:r>
        <w:t>. e</w:t>
      </w:r>
      <w:r w:rsidRPr="00593167">
        <w:t>);</w:t>
      </w:r>
    </w:p>
    <w:p w:rsidR="005807B6" w:rsidRPr="00593167" w:rsidRDefault="005807B6" w:rsidP="005807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593167">
        <w:t>operare</w:t>
      </w:r>
      <w:proofErr w:type="gramEnd"/>
      <w:r w:rsidRPr="00593167">
        <w:t xml:space="preserve"> sulla base di metodi ancorati ai valori di mercato </w:t>
      </w:r>
      <w:r>
        <w:t xml:space="preserve">osservati </w:t>
      </w:r>
      <w:r w:rsidRPr="00593167">
        <w:t>nel triennio antecedente l’anno di entrata in vigore del decreto legislativo e alla superficie dei fabbricati espressa in metri quadri e non più in vani</w:t>
      </w:r>
      <w:r>
        <w:t xml:space="preserve"> (</w:t>
      </w:r>
      <w:proofErr w:type="spellStart"/>
      <w:r>
        <w:t>lett</w:t>
      </w:r>
      <w:proofErr w:type="spellEnd"/>
      <w:r>
        <w:t>. f e h)</w:t>
      </w:r>
      <w:r w:rsidRPr="00593167">
        <w:t>;</w:t>
      </w:r>
    </w:p>
    <w:p w:rsidR="005807B6" w:rsidRPr="001221D1" w:rsidRDefault="005807B6" w:rsidP="005807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r</w:t>
      </w:r>
      <w:r w:rsidRPr="001221D1">
        <w:t>idefinire</w:t>
      </w:r>
      <w:proofErr w:type="gramEnd"/>
      <w:r w:rsidRPr="001221D1">
        <w:t xml:space="preserve"> </w:t>
      </w:r>
      <w:r>
        <w:t xml:space="preserve">e semplificare </w:t>
      </w:r>
      <w:r w:rsidRPr="001221D1">
        <w:t>le destinazioni d’uso catastali, distinguendole in ordinarie e speciali, tenendo conto delle mutato contesto economico-sociale e delle diverse utilizzazioni degli immobili</w:t>
      </w:r>
      <w:r>
        <w:t xml:space="preserve"> (</w:t>
      </w:r>
      <w:proofErr w:type="spellStart"/>
      <w:r>
        <w:t>lett</w:t>
      </w:r>
      <w:proofErr w:type="spellEnd"/>
      <w:r>
        <w:t>. g).</w:t>
      </w:r>
    </w:p>
    <w:p w:rsidR="005807B6" w:rsidRPr="00214333" w:rsidRDefault="005807B6" w:rsidP="005807B6">
      <w:pPr>
        <w:autoSpaceDE w:val="0"/>
        <w:autoSpaceDN w:val="0"/>
        <w:adjustRightInd w:val="0"/>
        <w:spacing w:line="360" w:lineRule="auto"/>
        <w:jc w:val="both"/>
      </w:pPr>
      <w:r>
        <w:t>La norma prevede inoltre alcuni criteri-guida (</w:t>
      </w:r>
      <w:proofErr w:type="spellStart"/>
      <w:r>
        <w:t>lett</w:t>
      </w:r>
      <w:proofErr w:type="spellEnd"/>
      <w:r>
        <w:t xml:space="preserve">. h) per la </w:t>
      </w:r>
      <w:r w:rsidRPr="001221D1">
        <w:t>determina</w:t>
      </w:r>
      <w:r>
        <w:t>zione</w:t>
      </w:r>
      <w:r w:rsidRPr="001221D1">
        <w:t xml:space="preserve"> </w:t>
      </w:r>
      <w:r>
        <w:t xml:space="preserve">del </w:t>
      </w:r>
      <w:r w:rsidRPr="00593167">
        <w:rPr>
          <w:b/>
        </w:rPr>
        <w:t xml:space="preserve">valore </w:t>
      </w:r>
      <w:proofErr w:type="gramStart"/>
      <w:r w:rsidRPr="00593167">
        <w:rPr>
          <w:b/>
        </w:rPr>
        <w:t>patrimoniale</w:t>
      </w:r>
      <w:proofErr w:type="gramEnd"/>
      <w:r w:rsidRPr="00593167">
        <w:rPr>
          <w:b/>
        </w:rPr>
        <w:t xml:space="preserve"> medio ordinario per le unità immobiliari a</w:t>
      </w:r>
      <w:r w:rsidRPr="00593167">
        <w:t xml:space="preserve"> </w:t>
      </w:r>
      <w:r w:rsidRPr="00593167">
        <w:rPr>
          <w:b/>
        </w:rPr>
        <w:t>destinazione catastale ordinaria</w:t>
      </w:r>
      <w:r w:rsidRPr="00214333">
        <w:t>,</w:t>
      </w:r>
      <w:r>
        <w:rPr>
          <w:b/>
        </w:rPr>
        <w:t xml:space="preserve"> </w:t>
      </w:r>
      <w:r>
        <w:t xml:space="preserve">che dovrà basarsi sul </w:t>
      </w:r>
      <w:r w:rsidRPr="00593167">
        <w:t>metro quadro quale unità di consistenza</w:t>
      </w:r>
      <w:r>
        <w:t xml:space="preserve"> fisica e su </w:t>
      </w:r>
      <w:r w:rsidRPr="00593167">
        <w:t>un processo estimativo</w:t>
      </w:r>
      <w:r>
        <w:t>,</w:t>
      </w:r>
      <w:r w:rsidRPr="00593167">
        <w:t xml:space="preserve"> </w:t>
      </w:r>
      <w:r>
        <w:t xml:space="preserve">ancorato a </w:t>
      </w:r>
      <w:r w:rsidRPr="00593167">
        <w:t xml:space="preserve">funzioni statistiche che esprimono la relazione tra valore di mercato, localizzazione e </w:t>
      </w:r>
      <w:r>
        <w:t>c</w:t>
      </w:r>
      <w:r w:rsidRPr="00593167">
        <w:t>aratteristiche edilizie dei beni</w:t>
      </w:r>
      <w:r>
        <w:t>,</w:t>
      </w:r>
      <w:r w:rsidRPr="00593167">
        <w:t xml:space="preserve"> per ciascuna destinazione catastale e per ciascun ambito territoriale, anche all’interno di uno stesso Comune. Nel caso in cui i valori non possano essere determinati sulla base delle funzioni statistiche è prevista l’applicazione della specifica metodologia riferita alle </w:t>
      </w:r>
      <w:r>
        <w:t>“</w:t>
      </w:r>
      <w:r w:rsidRPr="00593167">
        <w:t>categorie speciali</w:t>
      </w:r>
      <w:r>
        <w:t>”</w:t>
      </w:r>
      <w:r w:rsidRPr="00593167">
        <w:t>.</w:t>
      </w:r>
    </w:p>
    <w:p w:rsidR="005807B6" w:rsidRPr="001221D1" w:rsidRDefault="005807B6" w:rsidP="005807B6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In merito a ciò,</w:t>
      </w:r>
      <w:r w:rsidRPr="00593167">
        <w:t xml:space="preserve"> la nuova </w:t>
      </w:r>
      <w:r>
        <w:t xml:space="preserve">disposizione </w:t>
      </w:r>
      <w:r w:rsidRPr="00593167">
        <w:t>sancisce che</w:t>
      </w:r>
      <w:r>
        <w:t xml:space="preserve"> la determinazione del </w:t>
      </w:r>
      <w:r w:rsidRPr="00593167">
        <w:rPr>
          <w:b/>
        </w:rPr>
        <w:t>valore patrimoniale medio ordinario delle unità immobiliari a destinazione catastale speciale</w:t>
      </w:r>
      <w:r w:rsidRPr="00A57C32">
        <w:t xml:space="preserve"> si effettui</w:t>
      </w:r>
      <w:r>
        <w:rPr>
          <w:b/>
        </w:rPr>
        <w:t xml:space="preserve"> </w:t>
      </w:r>
      <w:r w:rsidRPr="00214333">
        <w:t>sulla base</w:t>
      </w:r>
      <w:r>
        <w:rPr>
          <w:b/>
        </w:rPr>
        <w:t xml:space="preserve"> </w:t>
      </w:r>
      <w:r w:rsidRPr="00214333">
        <w:t>di</w:t>
      </w:r>
      <w:r>
        <w:rPr>
          <w:b/>
        </w:rPr>
        <w:t xml:space="preserve"> </w:t>
      </w:r>
      <w:r w:rsidRPr="001221D1">
        <w:t>una stima diretta</w:t>
      </w:r>
      <w:r>
        <w:t>,</w:t>
      </w:r>
      <w:r w:rsidRPr="001221D1">
        <w:t xml:space="preserve"> applicando metodi standardizzati e parametri di consistenza</w:t>
      </w:r>
      <w:r>
        <w:t>,</w:t>
      </w:r>
      <w:r w:rsidRPr="001221D1">
        <w:t xml:space="preserve"> specifici per ciascuna destinazione catastale speciale</w:t>
      </w:r>
      <w:r>
        <w:t>, in modo non dissimile da quanto oggi previsto per i fabbricati classificati nei gruppi D ed E. N</w:t>
      </w:r>
      <w:r w:rsidRPr="001221D1">
        <w:t xml:space="preserve">el caso in cui </w:t>
      </w:r>
      <w:r>
        <w:t xml:space="preserve">tale procedimento basato non possa fare riferimento a valori di mercato, allora dovrà essere </w:t>
      </w:r>
      <w:r w:rsidRPr="001221D1">
        <w:t>utilizza</w:t>
      </w:r>
      <w:r>
        <w:t>to</w:t>
      </w:r>
      <w:r w:rsidRPr="001221D1">
        <w:t xml:space="preserve"> il </w:t>
      </w:r>
      <w:r>
        <w:t>criterio del costo (</w:t>
      </w:r>
      <w:r w:rsidRPr="001221D1">
        <w:t>per gli immobili a carattere prevalentemente strumentale</w:t>
      </w:r>
      <w:r>
        <w:t>),</w:t>
      </w:r>
      <w:r w:rsidRPr="001221D1">
        <w:t xml:space="preserve"> o</w:t>
      </w:r>
      <w:r>
        <w:t xml:space="preserve">vvero </w:t>
      </w:r>
      <w:r w:rsidRPr="001221D1">
        <w:t>il criterio reddituale</w:t>
      </w:r>
      <w:r>
        <w:t xml:space="preserve"> (</w:t>
      </w:r>
      <w:r w:rsidRPr="001221D1">
        <w:t>per gli immobili per i quali la redditività costituisce l’aspetto prevalente</w:t>
      </w:r>
      <w:r>
        <w:t>)</w:t>
      </w:r>
      <w:r w:rsidRPr="001221D1">
        <w:t>.</w:t>
      </w:r>
    </w:p>
    <w:p w:rsidR="005807B6" w:rsidRPr="001221D1" w:rsidRDefault="005807B6" w:rsidP="005807B6">
      <w:pPr>
        <w:autoSpaceDE w:val="0"/>
        <w:autoSpaceDN w:val="0"/>
        <w:adjustRightInd w:val="0"/>
        <w:spacing w:line="360" w:lineRule="auto"/>
        <w:jc w:val="both"/>
      </w:pPr>
      <w:r>
        <w:t xml:space="preserve">Al fine di </w:t>
      </w:r>
      <w:r w:rsidRPr="001221D1">
        <w:t xml:space="preserve">determinare la </w:t>
      </w:r>
      <w:r w:rsidRPr="001221D1">
        <w:rPr>
          <w:b/>
        </w:rPr>
        <w:t>rendita media ordinaria</w:t>
      </w:r>
      <w:r w:rsidRPr="001221D1">
        <w:t xml:space="preserve"> </w:t>
      </w:r>
      <w:r w:rsidRPr="00A57C32">
        <w:rPr>
          <w:b/>
        </w:rPr>
        <w:t>delle unità immobiliari</w:t>
      </w:r>
      <w:r w:rsidRPr="001221D1">
        <w:t xml:space="preserve"> </w:t>
      </w:r>
      <w:r>
        <w:t>(</w:t>
      </w:r>
      <w:proofErr w:type="spellStart"/>
      <w:r>
        <w:t>lett</w:t>
      </w:r>
      <w:proofErr w:type="spellEnd"/>
      <w:r>
        <w:t xml:space="preserve">. i) è previsto </w:t>
      </w:r>
      <w:r w:rsidRPr="001221D1">
        <w:t>un processo estimativo</w:t>
      </w:r>
      <w:r>
        <w:t>,</w:t>
      </w:r>
      <w:r w:rsidRPr="001221D1">
        <w:t xml:space="preserve"> </w:t>
      </w:r>
      <w:r>
        <w:t>sempre basato sulla superficie delle unità immobiliari</w:t>
      </w:r>
      <w:r w:rsidRPr="001221D1">
        <w:t>, che utilizza</w:t>
      </w:r>
      <w:r>
        <w:t xml:space="preserve"> però</w:t>
      </w:r>
      <w:r w:rsidRPr="001221D1">
        <w:t xml:space="preserve"> funzioni statistiche in grado di esprimere la relazione tra redditi da locazione medi, localizzazione e caratteristiche edilizie dei beni</w:t>
      </w:r>
      <w:r>
        <w:t>,</w:t>
      </w:r>
      <w:r w:rsidRPr="001221D1">
        <w:t xml:space="preserve"> per ciascuna destinazione catastale e per ciascun ambito </w:t>
      </w:r>
      <w:r>
        <w:t>territoriale; se tal</w:t>
      </w:r>
      <w:r w:rsidRPr="001221D1">
        <w:t xml:space="preserve">i dati </w:t>
      </w:r>
      <w:r>
        <w:t xml:space="preserve">sono desumibili </w:t>
      </w:r>
      <w:r w:rsidRPr="001221D1">
        <w:t>nel mercato delle locazioni</w:t>
      </w:r>
      <w:r>
        <w:t>, in modo affidabile</w:t>
      </w:r>
      <w:r w:rsidRPr="001221D1">
        <w:t>. In caso contrario</w:t>
      </w:r>
      <w:r>
        <w:t>,</w:t>
      </w:r>
      <w:r w:rsidRPr="001221D1">
        <w:t xml:space="preserve"> la funzione </w:t>
      </w:r>
      <w:r>
        <w:t xml:space="preserve">di determinazione della rendita sarà ancorata </w:t>
      </w:r>
      <w:r w:rsidRPr="001221D1">
        <w:t xml:space="preserve">ai valori patrimoniali </w:t>
      </w:r>
      <w:r>
        <w:t xml:space="preserve">cui applicare </w:t>
      </w:r>
      <w:r w:rsidRPr="001221D1">
        <w:t>specifici saggi di redditività</w:t>
      </w:r>
      <w:r>
        <w:t>,</w:t>
      </w:r>
      <w:r w:rsidRPr="001221D1">
        <w:t xml:space="preserve"> </w:t>
      </w:r>
      <w:r>
        <w:t xml:space="preserve">come </w:t>
      </w:r>
      <w:r w:rsidRPr="001221D1">
        <w:t xml:space="preserve">desumibili dal mercato nel triennio antecedente </w:t>
      </w:r>
      <w:r>
        <w:t>al</w:t>
      </w:r>
      <w:r w:rsidRPr="001221D1">
        <w:t>l’anno di entrata in vigore del decreto legislativo</w:t>
      </w:r>
      <w:r>
        <w:t xml:space="preserve"> di riferimento</w:t>
      </w:r>
      <w:r w:rsidRPr="001221D1">
        <w:t>.</w:t>
      </w:r>
    </w:p>
    <w:p w:rsidR="005807B6" w:rsidRDefault="00BC4025" w:rsidP="005807B6">
      <w:pPr>
        <w:autoSpaceDE w:val="0"/>
        <w:autoSpaceDN w:val="0"/>
        <w:adjustRightInd w:val="0"/>
        <w:spacing w:line="360" w:lineRule="auto"/>
        <w:jc w:val="both"/>
      </w:pPr>
      <w:r>
        <w:t xml:space="preserve">Sempre il </w:t>
      </w:r>
      <w:r w:rsidR="005807B6">
        <w:t xml:space="preserve">comma </w:t>
      </w:r>
      <w:r>
        <w:t xml:space="preserve">1, </w:t>
      </w:r>
      <w:r w:rsidR="005807B6">
        <w:t>prevede poi</w:t>
      </w:r>
      <w:r w:rsidR="005807B6" w:rsidRPr="001221D1">
        <w:t xml:space="preserve"> </w:t>
      </w:r>
      <w:r w:rsidR="005807B6">
        <w:t>(</w:t>
      </w:r>
      <w:proofErr w:type="spellStart"/>
      <w:r w:rsidR="005807B6">
        <w:t>lett</w:t>
      </w:r>
      <w:proofErr w:type="spellEnd"/>
      <w:r w:rsidR="005807B6">
        <w:t xml:space="preserve">. l) </w:t>
      </w:r>
      <w:r w:rsidR="005807B6" w:rsidRPr="003F515C">
        <w:rPr>
          <w:b/>
        </w:rPr>
        <w:t xml:space="preserve">l’aggiornamento periodico di </w:t>
      </w:r>
      <w:r w:rsidR="005807B6">
        <w:rPr>
          <w:b/>
        </w:rPr>
        <w:t xml:space="preserve">tali </w:t>
      </w:r>
      <w:r w:rsidR="005807B6" w:rsidRPr="003F515C">
        <w:rPr>
          <w:b/>
        </w:rPr>
        <w:t>valori</w:t>
      </w:r>
      <w:r w:rsidR="005807B6">
        <w:rPr>
          <w:b/>
        </w:rPr>
        <w:t>,</w:t>
      </w:r>
      <w:r w:rsidR="005807B6" w:rsidRPr="003F515C">
        <w:rPr>
          <w:b/>
        </w:rPr>
        <w:t xml:space="preserve"> </w:t>
      </w:r>
      <w:r w:rsidR="005807B6" w:rsidRPr="00214333">
        <w:t>in</w:t>
      </w:r>
      <w:r w:rsidR="005807B6">
        <w:rPr>
          <w:b/>
        </w:rPr>
        <w:t xml:space="preserve"> </w:t>
      </w:r>
      <w:r w:rsidR="005807B6" w:rsidRPr="00214333">
        <w:t>relazione all’andamento del mercato</w:t>
      </w:r>
      <w:r w:rsidR="005807B6">
        <w:t>,</w:t>
      </w:r>
      <w:r w:rsidR="005807B6">
        <w:rPr>
          <w:b/>
        </w:rPr>
        <w:t xml:space="preserve"> </w:t>
      </w:r>
      <w:r w:rsidR="005807B6" w:rsidRPr="00214333">
        <w:t>con l</w:t>
      </w:r>
      <w:r w:rsidR="005807B6">
        <w:t>’esplicita finalità di evitare che i valori catastali di riferimento possano eccedere i valori di mercato.</w:t>
      </w:r>
      <w:r w:rsidR="005807B6">
        <w:rPr>
          <w:b/>
        </w:rPr>
        <w:t xml:space="preserve"> </w:t>
      </w:r>
      <w:r>
        <w:rPr>
          <w:b/>
        </w:rPr>
        <w:t xml:space="preserve"> </w:t>
      </w:r>
      <w:r w:rsidR="005807B6">
        <w:t>P</w:t>
      </w:r>
      <w:r w:rsidR="005807B6" w:rsidRPr="001221D1">
        <w:t xml:space="preserve">er le </w:t>
      </w:r>
      <w:r w:rsidR="005807B6" w:rsidRPr="003F515C">
        <w:rPr>
          <w:b/>
        </w:rPr>
        <w:t>unità immobiliari riconosciute di interesse storico o artistico</w:t>
      </w:r>
      <w:r w:rsidR="005807B6" w:rsidRPr="001221D1">
        <w:t xml:space="preserve"> (</w:t>
      </w:r>
      <w:proofErr w:type="spellStart"/>
      <w:r w:rsidR="005807B6">
        <w:t>lett</w:t>
      </w:r>
      <w:proofErr w:type="spellEnd"/>
      <w:r w:rsidR="005807B6">
        <w:t xml:space="preserve">. m), </w:t>
      </w:r>
      <w:r w:rsidR="005807B6" w:rsidRPr="001221D1">
        <w:t xml:space="preserve">individuate ai sensi dell’articolo 10 </w:t>
      </w:r>
      <w:r w:rsidR="005807B6">
        <w:t xml:space="preserve">del </w:t>
      </w:r>
      <w:r w:rsidR="005807B6" w:rsidRPr="001221D1">
        <w:t xml:space="preserve">decreto legislativo 22 gennaio 2004, n. 42 </w:t>
      </w:r>
      <w:proofErr w:type="spellStart"/>
      <w:r w:rsidR="005807B6" w:rsidRPr="001221D1">
        <w:t>s.m.i.</w:t>
      </w:r>
      <w:proofErr w:type="spellEnd"/>
      <w:r w:rsidR="005807B6">
        <w:t>,</w:t>
      </w:r>
      <w:r w:rsidR="005807B6" w:rsidRPr="001221D1">
        <w:t xml:space="preserve"> il valore patrimoniale medio ordinario e la rendita media ordinaria</w:t>
      </w:r>
      <w:r w:rsidR="005807B6">
        <w:t>,</w:t>
      </w:r>
      <w:r w:rsidR="005807B6" w:rsidRPr="001221D1">
        <w:t xml:space="preserve"> vanno ridotti tenendo conto degli oneri di manutenzione</w:t>
      </w:r>
      <w:r w:rsidR="005807B6">
        <w:t xml:space="preserve"> e</w:t>
      </w:r>
      <w:r w:rsidR="005807B6" w:rsidRPr="001221D1">
        <w:t xml:space="preserve"> </w:t>
      </w:r>
      <w:r w:rsidR="005807B6">
        <w:t xml:space="preserve">di </w:t>
      </w:r>
      <w:r w:rsidR="005807B6" w:rsidRPr="001221D1">
        <w:t>conservazione</w:t>
      </w:r>
      <w:r w:rsidR="005807B6">
        <w:t xml:space="preserve"> </w:t>
      </w:r>
      <w:proofErr w:type="spellStart"/>
      <w:r w:rsidR="005807B6">
        <w:t>nonchè</w:t>
      </w:r>
      <w:proofErr w:type="spellEnd"/>
      <w:r w:rsidR="005807B6" w:rsidRPr="001221D1">
        <w:t xml:space="preserve"> dei vincoli legislativi alla destinazione, all’utilizzo, alla circolazione giuridica e</w:t>
      </w:r>
      <w:r w:rsidR="005807B6">
        <w:t>d</w:t>
      </w:r>
      <w:r w:rsidR="005807B6" w:rsidRPr="001221D1">
        <w:t xml:space="preserve"> al restauro.</w:t>
      </w:r>
    </w:p>
    <w:p w:rsidR="00BC4025" w:rsidRDefault="00BC4025" w:rsidP="005807B6">
      <w:pPr>
        <w:autoSpaceDE w:val="0"/>
        <w:autoSpaceDN w:val="0"/>
        <w:adjustRightInd w:val="0"/>
        <w:spacing w:line="360" w:lineRule="auto"/>
        <w:jc w:val="both"/>
      </w:pPr>
    </w:p>
    <w:p w:rsidR="005807B6" w:rsidRDefault="005807B6" w:rsidP="0058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D2CB2">
        <w:t xml:space="preserve">Il </w:t>
      </w:r>
      <w:r w:rsidRPr="00BD2CB2">
        <w:rPr>
          <w:i/>
        </w:rPr>
        <w:t>comma 2</w:t>
      </w:r>
      <w:r w:rsidRPr="00BD2CB2">
        <w:t xml:space="preserve"> </w:t>
      </w:r>
      <w:r>
        <w:t xml:space="preserve">richiede </w:t>
      </w:r>
      <w:r w:rsidR="00BC4025">
        <w:t xml:space="preserve">invece </w:t>
      </w:r>
      <w:r w:rsidRPr="00BD2CB2">
        <w:t xml:space="preserve">che le funzioni statistiche </w:t>
      </w:r>
      <w:r w:rsidRPr="00E8040C">
        <w:t>che esprimono la relazione tra valore di mercato</w:t>
      </w:r>
      <w:r>
        <w:t xml:space="preserve"> o dei </w:t>
      </w:r>
      <w:r w:rsidRPr="00E8040C">
        <w:t>redditi da locazione medi</w:t>
      </w:r>
      <w:r>
        <w:t xml:space="preserve">, da un lato, e la </w:t>
      </w:r>
      <w:r w:rsidRPr="00E8040C">
        <w:t xml:space="preserve">localizzazione e </w:t>
      </w:r>
      <w:r>
        <w:t xml:space="preserve">le </w:t>
      </w:r>
      <w:r w:rsidRPr="00E8040C">
        <w:t>caratteristiche edilizie dei beni</w:t>
      </w:r>
      <w:r>
        <w:t>, dall’altro</w:t>
      </w:r>
      <w:r w:rsidRPr="00E8040C">
        <w:t>,</w:t>
      </w:r>
      <w:r>
        <w:t xml:space="preserve"> </w:t>
      </w:r>
      <w:r w:rsidRPr="00BD2CB2">
        <w:t>devono ten</w:t>
      </w:r>
      <w:r>
        <w:t>e</w:t>
      </w:r>
      <w:r w:rsidRPr="00BD2CB2">
        <w:t>r</w:t>
      </w:r>
      <w:r>
        <w:t>e</w:t>
      </w:r>
      <w:r w:rsidRPr="00BD2CB2">
        <w:t xml:space="preserve"> conto della complessit</w:t>
      </w:r>
      <w:r>
        <w:t>à</w:t>
      </w:r>
      <w:r w:rsidRPr="00BD2CB2">
        <w:t xml:space="preserve"> delle variabili </w:t>
      </w:r>
      <w:r>
        <w:t xml:space="preserve">che determinano i fenomeni analizzati ed </w:t>
      </w:r>
      <w:r w:rsidRPr="00BD2CB2">
        <w:t>utilizza</w:t>
      </w:r>
      <w:r>
        <w:t>re</w:t>
      </w:r>
      <w:r w:rsidRPr="00BD2CB2">
        <w:t xml:space="preserve"> metodologie statistiche riconosciute a livello scientifico. </w:t>
      </w:r>
    </w:p>
    <w:p w:rsidR="005807B6" w:rsidRPr="00BD2CB2" w:rsidRDefault="005807B6" w:rsidP="00580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807B6" w:rsidRDefault="005807B6" w:rsidP="005807B6">
      <w:pPr>
        <w:autoSpaceDE w:val="0"/>
        <w:autoSpaceDN w:val="0"/>
        <w:adjustRightInd w:val="0"/>
        <w:spacing w:line="360" w:lineRule="auto"/>
        <w:jc w:val="both"/>
      </w:pPr>
      <w:r w:rsidRPr="001221D1">
        <w:t xml:space="preserve">Il </w:t>
      </w:r>
      <w:r>
        <w:rPr>
          <w:i/>
        </w:rPr>
        <w:t xml:space="preserve">comma 3 </w:t>
      </w:r>
      <w:r w:rsidRPr="001221D1">
        <w:t xml:space="preserve">della </w:t>
      </w:r>
      <w:r>
        <w:t>norma</w:t>
      </w:r>
      <w:r w:rsidRPr="001221D1">
        <w:t xml:space="preserve"> </w:t>
      </w:r>
      <w:r>
        <w:t xml:space="preserve">in questione </w:t>
      </w:r>
      <w:r w:rsidRPr="001221D1">
        <w:t>preve</w:t>
      </w:r>
      <w:r>
        <w:t>de</w:t>
      </w:r>
      <w:r w:rsidRPr="001221D1">
        <w:t xml:space="preserve"> che, sempre nell’ambito dei </w:t>
      </w:r>
      <w:r>
        <w:t>succitati decreti</w:t>
      </w:r>
      <w:r w:rsidRPr="001221D1">
        <w:t xml:space="preserve">, il Governo è delegato </w:t>
      </w:r>
      <w:r>
        <w:t xml:space="preserve">ad </w:t>
      </w:r>
      <w:r w:rsidRPr="001221D1">
        <w:t>emanare altre norme</w:t>
      </w:r>
      <w:r>
        <w:t xml:space="preserve"> di riordinamento del sistema catastale,</w:t>
      </w:r>
      <w:r w:rsidRPr="001221D1">
        <w:t xml:space="preserve"> tra le quali quelle più significative </w:t>
      </w:r>
      <w:r>
        <w:t>sono volte</w:t>
      </w:r>
      <w:r w:rsidRPr="001221D1">
        <w:t xml:space="preserve"> a:</w:t>
      </w:r>
    </w:p>
    <w:p w:rsidR="005807B6" w:rsidRDefault="005807B6" w:rsidP="005807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1221D1">
        <w:t>ridefinire</w:t>
      </w:r>
      <w:proofErr w:type="gramEnd"/>
      <w:r w:rsidRPr="001221D1">
        <w:t xml:space="preserve"> le competenze e il funzionamento delle commissioni censuarie provinciali e della commissione censuaria centrale</w:t>
      </w:r>
      <w:r>
        <w:t xml:space="preserve"> (</w:t>
      </w:r>
      <w:proofErr w:type="spellStart"/>
      <w:r>
        <w:t>lett</w:t>
      </w:r>
      <w:proofErr w:type="spellEnd"/>
      <w:r>
        <w:t>. a) e</w:t>
      </w:r>
      <w:r w:rsidRPr="001221D1">
        <w:t xml:space="preserve"> modificare la loro composizione, anche in funzione </w:t>
      </w:r>
      <w:r w:rsidRPr="001221D1">
        <w:lastRenderedPageBreak/>
        <w:t xml:space="preserve">delle nuove competenze attribuite (validazione funzioni statistiche del comma 1, </w:t>
      </w:r>
      <w:r>
        <w:t xml:space="preserve">deflazione del </w:t>
      </w:r>
      <w:r w:rsidRPr="001221D1">
        <w:t xml:space="preserve"> contenzioso).</w:t>
      </w:r>
      <w:r>
        <w:t xml:space="preserve"> Le commissioni vedranno </w:t>
      </w:r>
      <w:r w:rsidRPr="001221D1">
        <w:t xml:space="preserve">la presenza di rappresentanti dell’Agenzia delle </w:t>
      </w:r>
      <w:r>
        <w:t>E</w:t>
      </w:r>
      <w:r w:rsidRPr="001221D1">
        <w:t>ntrate</w:t>
      </w:r>
      <w:r>
        <w:t xml:space="preserve"> e</w:t>
      </w:r>
      <w:r w:rsidRPr="001221D1">
        <w:t xml:space="preserve"> degli </w:t>
      </w:r>
      <w:r>
        <w:t>E</w:t>
      </w:r>
      <w:r w:rsidRPr="001221D1">
        <w:t xml:space="preserve">nti </w:t>
      </w:r>
      <w:r>
        <w:t>l</w:t>
      </w:r>
      <w:r w:rsidRPr="001221D1">
        <w:t>ocali</w:t>
      </w:r>
      <w:r>
        <w:t xml:space="preserve"> - </w:t>
      </w:r>
      <w:r w:rsidRPr="001221D1">
        <w:t>con criteri di nomina fissati d’intesa con la Conferenza Stato-città ed autonomie locali</w:t>
      </w:r>
      <w:r>
        <w:t xml:space="preserve"> - nonché </w:t>
      </w:r>
      <w:r w:rsidRPr="001221D1">
        <w:t xml:space="preserve">di professionisti, tecnici, docenti qualificati in materia di economia e di estimo urbano e rurale, esperti di statistica e di econometria (anche indicati dalle associazioni di categoria del settore immobiliare), di magistrati appartenenti alla giurisdizione ordinaria e a quella amministrativa </w:t>
      </w:r>
      <w:r>
        <w:t xml:space="preserve">e, </w:t>
      </w:r>
      <w:r w:rsidRPr="001221D1">
        <w:t>per le commissioni censuarie provinciali di Trento e di Bolzano</w:t>
      </w:r>
      <w:r>
        <w:t xml:space="preserve">, </w:t>
      </w:r>
      <w:r w:rsidRPr="001221D1">
        <w:t xml:space="preserve">di rappresentanti delle </w:t>
      </w:r>
      <w:r>
        <w:t>rispettive P</w:t>
      </w:r>
      <w:r w:rsidRPr="001221D1">
        <w:t>rovince autonome;</w:t>
      </w:r>
    </w:p>
    <w:p w:rsidR="005807B6" w:rsidRDefault="005807B6" w:rsidP="005807B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1221D1">
        <w:t>assicurare</w:t>
      </w:r>
      <w:proofErr w:type="gramEnd"/>
      <w:r w:rsidRPr="001221D1">
        <w:t xml:space="preserve"> la cooperazione tra l’A</w:t>
      </w:r>
      <w:r>
        <w:t>genzia delle entrate e i C</w:t>
      </w:r>
      <w:r w:rsidRPr="001221D1">
        <w:t xml:space="preserve">omuni </w:t>
      </w:r>
      <w:r>
        <w:t>(</w:t>
      </w:r>
      <w:proofErr w:type="spellStart"/>
      <w:r>
        <w:t>lett</w:t>
      </w:r>
      <w:proofErr w:type="spellEnd"/>
      <w:r>
        <w:t xml:space="preserve">. b), </w:t>
      </w:r>
      <w:r w:rsidRPr="001221D1">
        <w:t>attraverso l’integrazione dei dati immobiliari e l’interoperabilità dei sistemi informativi pubblici locali, regionali e centrali in materia catastale e territoriale</w:t>
      </w:r>
      <w:r>
        <w:t xml:space="preserve">. Si prevede in proposito la sistematizzazione della </w:t>
      </w:r>
      <w:r w:rsidRPr="001221D1">
        <w:t xml:space="preserve">raccolta e scambio delle informazioni </w:t>
      </w:r>
      <w:r>
        <w:t xml:space="preserve">utili </w:t>
      </w:r>
      <w:r w:rsidRPr="001221D1">
        <w:t>all’elaborazione dei valori patrimoniali e delle rendite</w:t>
      </w:r>
      <w:r>
        <w:t>,</w:t>
      </w:r>
      <w:r w:rsidRPr="001221D1">
        <w:t xml:space="preserve"> sulla base di </w:t>
      </w:r>
      <w:r>
        <w:t xml:space="preserve">piani </w:t>
      </w:r>
      <w:r w:rsidRPr="001221D1">
        <w:t xml:space="preserve">operativi </w:t>
      </w:r>
      <w:r>
        <w:t>concordati tra C</w:t>
      </w:r>
      <w:r w:rsidRPr="001221D1">
        <w:t xml:space="preserve">omuni o gruppi di comuni ed Agenzia </w:t>
      </w:r>
      <w:r>
        <w:t xml:space="preserve">(contenenti </w:t>
      </w:r>
      <w:r w:rsidRPr="001221D1">
        <w:t xml:space="preserve">tempistiche </w:t>
      </w:r>
      <w:r>
        <w:t>attuative e p</w:t>
      </w:r>
      <w:r w:rsidRPr="001221D1">
        <w:t xml:space="preserve">ossibilità di accesso di </w:t>
      </w:r>
      <w:r>
        <w:t>C</w:t>
      </w:r>
      <w:r w:rsidRPr="001221D1">
        <w:t xml:space="preserve">omuni, professionisti e cittadini ai dati catastali e </w:t>
      </w:r>
      <w:r>
        <w:t>di</w:t>
      </w:r>
      <w:r w:rsidRPr="001221D1">
        <w:t xml:space="preserve"> pubblicità immobiliare</w:t>
      </w:r>
      <w:r>
        <w:t>)</w:t>
      </w:r>
      <w:r w:rsidRPr="001221D1">
        <w:t xml:space="preserve">. </w:t>
      </w:r>
      <w:r>
        <w:t xml:space="preserve">In assenza dei </w:t>
      </w:r>
      <w:r w:rsidRPr="001221D1">
        <w:t>pi</w:t>
      </w:r>
      <w:r>
        <w:t>a</w:t>
      </w:r>
      <w:r w:rsidRPr="001221D1">
        <w:t>n</w:t>
      </w:r>
      <w:r>
        <w:t>i,</w:t>
      </w:r>
      <w:r w:rsidRPr="001221D1">
        <w:t xml:space="preserve"> l’Agenzia delle </w:t>
      </w:r>
      <w:r>
        <w:t>E</w:t>
      </w:r>
      <w:r w:rsidRPr="001221D1">
        <w:t>ntrate determin</w:t>
      </w:r>
      <w:r>
        <w:t>a</w:t>
      </w:r>
      <w:r w:rsidRPr="001221D1">
        <w:t xml:space="preserve"> provvisoriamente</w:t>
      </w:r>
      <w:r w:rsidRPr="001570C8">
        <w:t xml:space="preserve"> </w:t>
      </w:r>
      <w:r w:rsidRPr="001221D1">
        <w:t>valori e rendite</w:t>
      </w:r>
      <w:r>
        <w:t>,</w:t>
      </w:r>
      <w:r w:rsidRPr="001221D1">
        <w:t xml:space="preserve"> aventi efficacia sino all’attribuzione definitiva, con oneri da definire e suddividere adeguatamente</w:t>
      </w:r>
      <w:r>
        <w:t xml:space="preserve"> (quindi anche a carico dei Comuni)</w:t>
      </w:r>
      <w:r w:rsidRPr="001221D1">
        <w:t>;</w:t>
      </w:r>
    </w:p>
    <w:p w:rsidR="005807B6" w:rsidRDefault="005807B6" w:rsidP="005807B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1221D1">
        <w:t>definire</w:t>
      </w:r>
      <w:proofErr w:type="gramEnd"/>
      <w:r w:rsidRPr="001221D1">
        <w:t xml:space="preserve"> soluzioni sostenibili in materia di ripartizione delle dotazioni di risorse umane, materiali e finanziarie dei soggetti che esercitano le funzioni catastali</w:t>
      </w:r>
      <w:r>
        <w:t xml:space="preserve"> (</w:t>
      </w:r>
      <w:proofErr w:type="spellStart"/>
      <w:r>
        <w:t>lett</w:t>
      </w:r>
      <w:proofErr w:type="spellEnd"/>
      <w:r>
        <w:t>. e)</w:t>
      </w:r>
      <w:r w:rsidRPr="001221D1">
        <w:t>, in coerenza con l’attuazione del nuovo catasto;</w:t>
      </w:r>
    </w:p>
    <w:p w:rsidR="005807B6" w:rsidRDefault="005807B6" w:rsidP="005807B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utilizzare</w:t>
      </w:r>
      <w:proofErr w:type="gramEnd"/>
      <w:r>
        <w:t xml:space="preserve"> strumenti di notifica semplificati e massivi (</w:t>
      </w:r>
      <w:proofErr w:type="spellStart"/>
      <w:r>
        <w:t>lett</w:t>
      </w:r>
      <w:proofErr w:type="spellEnd"/>
      <w:r>
        <w:t xml:space="preserve">. f), anche in deroga alle vigenti norme in materia </w:t>
      </w:r>
      <w:proofErr w:type="spellStart"/>
      <w:r>
        <w:t>nonchè</w:t>
      </w:r>
      <w:proofErr w:type="spellEnd"/>
      <w:r>
        <w:t xml:space="preserve"> abilitare l’Agenzia a coinvolgere gli ordini tecnici professionali nel processo revisionale, attraverso la stipula di apposite convenzioni (</w:t>
      </w:r>
      <w:proofErr w:type="spellStart"/>
      <w:r>
        <w:t>lett</w:t>
      </w:r>
      <w:proofErr w:type="spellEnd"/>
      <w:r>
        <w:t>. c) e dare adeguata pubblicità alle metodologie ed alle funzioni statistiche adottate (</w:t>
      </w:r>
      <w:proofErr w:type="spellStart"/>
      <w:r>
        <w:t>lett</w:t>
      </w:r>
      <w:proofErr w:type="spellEnd"/>
      <w:r>
        <w:t>. g);</w:t>
      </w:r>
    </w:p>
    <w:p w:rsidR="005807B6" w:rsidRDefault="005807B6" w:rsidP="005807B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1221D1">
        <w:t>individuare</w:t>
      </w:r>
      <w:proofErr w:type="gramEnd"/>
      <w:r w:rsidRPr="001221D1">
        <w:t>, il periodo d’imposta dal quale sono applicati le nuove rendite e i nuovi valori patrimoniali</w:t>
      </w:r>
      <w:r>
        <w:t xml:space="preserve"> (</w:t>
      </w:r>
      <w:proofErr w:type="spellStart"/>
      <w:r>
        <w:t>lett</w:t>
      </w:r>
      <w:proofErr w:type="spellEnd"/>
      <w:r>
        <w:t>. i)</w:t>
      </w:r>
      <w:r w:rsidRPr="001221D1">
        <w:t>;</w:t>
      </w:r>
    </w:p>
    <w:p w:rsidR="005807B6" w:rsidRDefault="005807B6" w:rsidP="005807B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1221D1">
        <w:t>garantire</w:t>
      </w:r>
      <w:r>
        <w:t>,</w:t>
      </w:r>
      <w:r w:rsidRPr="001221D1">
        <w:t xml:space="preserve"> </w:t>
      </w:r>
      <w:r>
        <w:t xml:space="preserve">al fine di </w:t>
      </w:r>
      <w:r w:rsidRPr="001221D1">
        <w:t xml:space="preserve">evitare un aggravio </w:t>
      </w:r>
      <w:r>
        <w:t xml:space="preserve">del carico fiscale (specialmente delle </w:t>
      </w:r>
      <w:r w:rsidRPr="001221D1">
        <w:t xml:space="preserve">imposte sui trasferimenti e </w:t>
      </w:r>
      <w:r>
        <w:t>sull’imposta municipale propria)</w:t>
      </w:r>
      <w:r w:rsidRPr="001221D1">
        <w:t xml:space="preserve">, l’invarianza del gettito delle singole imposte </w:t>
      </w:r>
      <w:r>
        <w:t>con</w:t>
      </w:r>
      <w:r w:rsidRPr="001221D1">
        <w:t xml:space="preserve"> base imponibile </w:t>
      </w:r>
      <w:r>
        <w:t>influenzata</w:t>
      </w:r>
      <w:r w:rsidRPr="001221D1">
        <w:t xml:space="preserve"> dalle stime di valori patrimoniali e rendite</w:t>
      </w:r>
      <w:r>
        <w:t xml:space="preserve"> (</w:t>
      </w:r>
      <w:proofErr w:type="spellStart"/>
      <w:r>
        <w:t>lett</w:t>
      </w:r>
      <w:proofErr w:type="spellEnd"/>
      <w:r>
        <w:t>. l)</w:t>
      </w:r>
      <w:r w:rsidRPr="001221D1">
        <w:t>, prevedendo</w:t>
      </w:r>
      <w:r>
        <w:t xml:space="preserve"> -</w:t>
      </w:r>
      <w:r w:rsidRPr="001221D1">
        <w:t xml:space="preserve"> contestualmente all’efficac</w:t>
      </w:r>
      <w:r>
        <w:t xml:space="preserve">ia impositiva dei nuovi valori - </w:t>
      </w:r>
      <w:r w:rsidRPr="001221D1">
        <w:t xml:space="preserve">la modifica delle relative aliquote impositive, delle eventuali deduzioni, detrazioni o </w:t>
      </w:r>
      <w:r>
        <w:t xml:space="preserve">franchigie, </w:t>
      </w:r>
      <w:r w:rsidRPr="001221D1">
        <w:t xml:space="preserve">basate sull’indicatore della situazione economica equivalente (ISEE), fino alla piena attuazione della prevista revisione </w:t>
      </w:r>
      <w:r>
        <w:t>dei succitati valori</w:t>
      </w:r>
      <w:r w:rsidRPr="001221D1">
        <w:t>;</w:t>
      </w:r>
    </w:p>
    <w:p w:rsidR="005807B6" w:rsidRDefault="005807B6" w:rsidP="005807B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1221D1">
        <w:lastRenderedPageBreak/>
        <w:t>prevedere</w:t>
      </w:r>
      <w:r>
        <w:t xml:space="preserve">, ai fini del </w:t>
      </w:r>
      <w:r w:rsidRPr="001221D1">
        <w:t>monitoraggio</w:t>
      </w:r>
      <w:r>
        <w:t xml:space="preserve"> del processo</w:t>
      </w:r>
      <w:r w:rsidRPr="001221D1">
        <w:t>, una relazione del Governo</w:t>
      </w:r>
      <w:r>
        <w:t>,</w:t>
      </w:r>
      <w:r w:rsidRPr="001221D1">
        <w:t xml:space="preserve"> da trasmettere alle Camere entro sei mesi dall’attribuzione dei nuovi valori catastali</w:t>
      </w:r>
      <w:r>
        <w:t xml:space="preserve"> (</w:t>
      </w:r>
      <w:proofErr w:type="spellStart"/>
      <w:r>
        <w:t>lett</w:t>
      </w:r>
      <w:proofErr w:type="spellEnd"/>
      <w:r>
        <w:t>. m)</w:t>
      </w:r>
      <w:r w:rsidRPr="001221D1">
        <w:t>, nonché successive relazioni, in merito agli effetti</w:t>
      </w:r>
      <w:r>
        <w:t xml:space="preserve"> della revisione</w:t>
      </w:r>
      <w:r w:rsidRPr="001221D1">
        <w:t xml:space="preserve">, articolati a livello comunale, </w:t>
      </w:r>
      <w:r>
        <w:t xml:space="preserve">volte a </w:t>
      </w:r>
      <w:r w:rsidRPr="001221D1">
        <w:t xml:space="preserve">verificare </w:t>
      </w:r>
      <w:r>
        <w:t xml:space="preserve">effettivamente </w:t>
      </w:r>
      <w:r w:rsidRPr="001221D1">
        <w:t>l’invarianza del gettito e la necessaria gradualità, anche mediante successivi interventi correttivi</w:t>
      </w:r>
      <w:r>
        <w:t>; è altresì prevista la revisione delle assegnazioni statali (fondo di solidarietà, perequazione) ai Comuni, in corrispondenza della variazione della base imponibile e dei gettiti standard ad essa collegati (</w:t>
      </w:r>
      <w:proofErr w:type="spellStart"/>
      <w:r>
        <w:t>lett</w:t>
      </w:r>
      <w:proofErr w:type="spellEnd"/>
      <w:r>
        <w:t>. o);</w:t>
      </w:r>
    </w:p>
    <w:p w:rsidR="005807B6" w:rsidRDefault="005807B6" w:rsidP="005807B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disporre</w:t>
      </w:r>
      <w:proofErr w:type="gramEnd"/>
      <w:r w:rsidRPr="001221D1">
        <w:t xml:space="preserve">, in aggiunta alle necessarie forme di tutela giurisdizionale, particolari e appropriate misure di tutela anticipata del contribuente in relazione all’attribuzione delle nuove rendite, anche </w:t>
      </w:r>
      <w:r>
        <w:t xml:space="preserve">attraverso </w:t>
      </w:r>
      <w:r w:rsidRPr="001221D1">
        <w:t>l’autotutela amministrativa</w:t>
      </w:r>
      <w:r>
        <w:t xml:space="preserve"> (</w:t>
      </w:r>
      <w:proofErr w:type="spellStart"/>
      <w:r>
        <w:t>lett</w:t>
      </w:r>
      <w:proofErr w:type="spellEnd"/>
      <w:r>
        <w:t>. n)</w:t>
      </w:r>
      <w:r w:rsidRPr="001221D1">
        <w:t xml:space="preserve">, con obbligo di risposta entro sessanta giorni </w:t>
      </w:r>
      <w:r>
        <w:t>da parte dell’Amministrazione</w:t>
      </w:r>
      <w:r w:rsidRPr="001221D1">
        <w:t>;</w:t>
      </w:r>
    </w:p>
    <w:p w:rsidR="005807B6" w:rsidRDefault="005807B6" w:rsidP="005807B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1221D1">
        <w:t>prevedere</w:t>
      </w:r>
      <w:proofErr w:type="gramEnd"/>
      <w:r w:rsidRPr="001221D1">
        <w:t xml:space="preserve"> un regime fiscale agevolato </w:t>
      </w:r>
      <w:r>
        <w:t xml:space="preserve">di </w:t>
      </w:r>
      <w:r w:rsidRPr="001221D1">
        <w:t>incentiv</w:t>
      </w:r>
      <w:r>
        <w:t>i per</w:t>
      </w:r>
      <w:r w:rsidRPr="001221D1">
        <w:t xml:space="preserve"> </w:t>
      </w:r>
      <w:r w:rsidRPr="00A43AD3">
        <w:t xml:space="preserve">la </w:t>
      </w:r>
      <w:r w:rsidRPr="008448A1">
        <w:t>realizzazione di opere di adeguamento degli immobili alla normativa sulla sicurezza e riqualificazione energetica e architettonica</w:t>
      </w:r>
      <w:r>
        <w:t xml:space="preserve"> (</w:t>
      </w:r>
      <w:proofErr w:type="spellStart"/>
      <w:r>
        <w:t>lett</w:t>
      </w:r>
      <w:proofErr w:type="spellEnd"/>
      <w:r>
        <w:t>. p) e per le unità immobiliari colpite da eventi sismici o calamitosi (</w:t>
      </w:r>
      <w:proofErr w:type="spellStart"/>
      <w:r>
        <w:t>lett</w:t>
      </w:r>
      <w:proofErr w:type="spellEnd"/>
      <w:r>
        <w:t>. q)</w:t>
      </w:r>
      <w:r w:rsidRPr="00A43AD3">
        <w:t>.</w:t>
      </w:r>
    </w:p>
    <w:p w:rsidR="005807B6" w:rsidRDefault="005807B6" w:rsidP="005807B6">
      <w:pPr>
        <w:autoSpaceDE w:val="0"/>
        <w:autoSpaceDN w:val="0"/>
        <w:adjustRightInd w:val="0"/>
        <w:spacing w:line="360" w:lineRule="auto"/>
        <w:jc w:val="both"/>
      </w:pPr>
    </w:p>
    <w:p w:rsidR="005807B6" w:rsidRPr="001221D1" w:rsidRDefault="005807B6" w:rsidP="005807B6">
      <w:pPr>
        <w:autoSpaceDE w:val="0"/>
        <w:autoSpaceDN w:val="0"/>
        <w:adjustRightInd w:val="0"/>
        <w:spacing w:line="360" w:lineRule="auto"/>
        <w:jc w:val="both"/>
      </w:pPr>
      <w:r>
        <w:t xml:space="preserve">Il </w:t>
      </w:r>
      <w:r w:rsidRPr="005807B6">
        <w:rPr>
          <w:i/>
        </w:rPr>
        <w:t>comma 4</w:t>
      </w:r>
      <w:r>
        <w:t xml:space="preserve"> dispone infine che d</w:t>
      </w:r>
      <w:r w:rsidRPr="001221D1">
        <w:t xml:space="preserve">all’attuazione </w:t>
      </w:r>
      <w:r>
        <w:t xml:space="preserve">dell’articolato non devono </w:t>
      </w:r>
      <w:r w:rsidRPr="001221D1">
        <w:t xml:space="preserve">derivare nuovi o maggiori oneri a carico della </w:t>
      </w:r>
      <w:r>
        <w:t>finanza pubblica. Per questo motivo, ai fini dell’attuazione del nuovo processo, la norma sancisce l’utilizzo prioritario del</w:t>
      </w:r>
      <w:r w:rsidRPr="001221D1">
        <w:t xml:space="preserve">le strutture e </w:t>
      </w:r>
      <w:r>
        <w:t>del</w:t>
      </w:r>
      <w:r w:rsidRPr="001221D1">
        <w:t>le professionalità esistenti nell’ambito delle amministrazioni pubbliche.</w:t>
      </w:r>
    </w:p>
    <w:p w:rsidR="005A710D" w:rsidRDefault="005A710D" w:rsidP="005807B6"/>
    <w:sectPr w:rsidR="005A7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7E66"/>
    <w:multiLevelType w:val="hybridMultilevel"/>
    <w:tmpl w:val="2F22A9A6"/>
    <w:lvl w:ilvl="0" w:tplc="D106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B771D"/>
    <w:multiLevelType w:val="hybridMultilevel"/>
    <w:tmpl w:val="C85E69BE"/>
    <w:lvl w:ilvl="0" w:tplc="D10667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141C9D"/>
    <w:multiLevelType w:val="hybridMultilevel"/>
    <w:tmpl w:val="BC54847C"/>
    <w:lvl w:ilvl="0" w:tplc="D10667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BA"/>
    <w:rsid w:val="002F509E"/>
    <w:rsid w:val="003A6ACF"/>
    <w:rsid w:val="005807B6"/>
    <w:rsid w:val="005A710D"/>
    <w:rsid w:val="007224B9"/>
    <w:rsid w:val="00AD71BA"/>
    <w:rsid w:val="00BC4025"/>
    <w:rsid w:val="00EF6FEF"/>
    <w:rsid w:val="00FB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C1B7B-AE4A-4181-B899-CD4708ED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7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7B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80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Bari</dc:creator>
  <cp:keywords/>
  <dc:description/>
  <cp:lastModifiedBy>datanet</cp:lastModifiedBy>
  <cp:revision>2</cp:revision>
  <dcterms:created xsi:type="dcterms:W3CDTF">2014-03-18T09:34:00Z</dcterms:created>
  <dcterms:modified xsi:type="dcterms:W3CDTF">2014-03-18T09:34:00Z</dcterms:modified>
</cp:coreProperties>
</file>