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E9" w:rsidRPr="009B2E7A" w:rsidRDefault="001368CC" w:rsidP="00887CE9">
      <w:pPr>
        <w:spacing w:after="200" w:line="360" w:lineRule="auto"/>
        <w:jc w:val="center"/>
        <w:outlineLvl w:val="0"/>
        <w:rPr>
          <w:rFonts w:ascii="Bookman Old Style" w:eastAsia="Arial Unicode MS" w:hAnsi="Bookman Old Style"/>
          <w:color w:val="000000"/>
          <w:sz w:val="22"/>
          <w:szCs w:val="22"/>
          <w:u w:color="000000"/>
        </w:rPr>
      </w:pPr>
      <w:r>
        <w:rPr>
          <w:rFonts w:ascii="Bookman Old Style" w:hAnsi="Bookman Old Style"/>
          <w:noProof/>
          <w:sz w:val="22"/>
          <w:szCs w:val="22"/>
          <w:lang w:eastAsia="it-IT"/>
        </w:rPr>
        <w:drawing>
          <wp:inline distT="0" distB="0" distL="0" distR="0">
            <wp:extent cx="638175" cy="942975"/>
            <wp:effectExtent l="0" t="0" r="9525" b="9525"/>
            <wp:docPr id="1" name="Immagin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887CE9" w:rsidRPr="009B2E7A" w:rsidRDefault="00887CE9" w:rsidP="00887CE9">
      <w:pPr>
        <w:spacing w:after="200" w:line="360" w:lineRule="auto"/>
        <w:outlineLvl w:val="0"/>
        <w:rPr>
          <w:rFonts w:ascii="Bookman Old Style" w:eastAsia="Arial Unicode MS" w:hAnsi="Bookman Old Style"/>
          <w:color w:val="000000"/>
          <w:sz w:val="22"/>
          <w:szCs w:val="22"/>
          <w:u w:color="000000"/>
        </w:rPr>
      </w:pPr>
    </w:p>
    <w:p w:rsidR="00887CE9" w:rsidRPr="009B2E7A" w:rsidRDefault="00887CE9" w:rsidP="00887CE9">
      <w:pPr>
        <w:spacing w:before="2600" w:after="600" w:line="360" w:lineRule="auto"/>
        <w:jc w:val="center"/>
        <w:outlineLvl w:val="0"/>
        <w:rPr>
          <w:rFonts w:ascii="Bookman Old Style" w:eastAsia="Arial Unicode MS" w:hAnsi="Bookman Old Style"/>
          <w:b/>
          <w:smallCaps/>
          <w:color w:val="000000"/>
          <w:sz w:val="22"/>
          <w:szCs w:val="22"/>
          <w:u w:color="000000"/>
        </w:rPr>
      </w:pPr>
      <w:bookmarkStart w:id="0" w:name="_GoBack"/>
      <w:bookmarkEnd w:id="0"/>
      <w:r w:rsidRPr="009B2E7A">
        <w:rPr>
          <w:rFonts w:ascii="Bookman Old Style" w:eastAsia="Arial Unicode MS" w:hAnsi="Bookman Old Style"/>
          <w:b/>
          <w:smallCaps/>
          <w:color w:val="000000"/>
          <w:sz w:val="22"/>
          <w:szCs w:val="22"/>
          <w:u w:color="000000"/>
        </w:rPr>
        <w:t xml:space="preserve">Documento per l’audizione </w:t>
      </w:r>
    </w:p>
    <w:p w:rsidR="00887CE9" w:rsidRPr="009B2E7A" w:rsidRDefault="0030460B" w:rsidP="00887CE9">
      <w:pPr>
        <w:spacing w:before="60" w:after="240" w:line="360" w:lineRule="auto"/>
        <w:jc w:val="center"/>
        <w:outlineLvl w:val="0"/>
        <w:rPr>
          <w:rFonts w:ascii="Bookman Old Style" w:eastAsia="Arial Unicode MS" w:hAnsi="Bookman Old Style"/>
          <w:b/>
          <w:smallCaps/>
          <w:color w:val="000000"/>
          <w:sz w:val="22"/>
          <w:szCs w:val="22"/>
          <w:u w:color="000000"/>
        </w:rPr>
      </w:pPr>
      <w:r>
        <w:rPr>
          <w:rFonts w:ascii="Bookman Old Style" w:eastAsia="Arial Unicode MS" w:hAnsi="Bookman Old Style"/>
          <w:b/>
          <w:smallCaps/>
          <w:color w:val="000000"/>
          <w:sz w:val="22"/>
          <w:szCs w:val="22"/>
          <w:u w:color="000000"/>
        </w:rPr>
        <w:t>Documento di Economia e finanza 2014</w:t>
      </w:r>
    </w:p>
    <w:p w:rsidR="00887CE9" w:rsidRPr="009B2E7A" w:rsidRDefault="00887CE9" w:rsidP="00887CE9">
      <w:pPr>
        <w:spacing w:before="60" w:after="240" w:line="360" w:lineRule="auto"/>
        <w:jc w:val="center"/>
        <w:outlineLvl w:val="0"/>
        <w:rPr>
          <w:rFonts w:ascii="Bookman Old Style" w:eastAsia="Arial Unicode MS" w:hAnsi="Bookman Old Style"/>
          <w:b/>
          <w:smallCaps/>
          <w:color w:val="000000"/>
          <w:sz w:val="22"/>
          <w:szCs w:val="22"/>
          <w:u w:color="000000"/>
        </w:rPr>
      </w:pPr>
    </w:p>
    <w:p w:rsidR="00887CE9" w:rsidRPr="009B2E7A" w:rsidRDefault="00B11C72" w:rsidP="00887CE9">
      <w:pPr>
        <w:spacing w:before="60" w:after="240" w:line="360" w:lineRule="auto"/>
        <w:jc w:val="center"/>
        <w:outlineLvl w:val="0"/>
        <w:rPr>
          <w:rFonts w:ascii="Bookman Old Style" w:eastAsia="Arial Unicode MS" w:hAnsi="Bookman Old Style"/>
          <w:b/>
          <w:smallCaps/>
          <w:color w:val="000000"/>
          <w:sz w:val="22"/>
          <w:szCs w:val="22"/>
          <w:u w:color="000000"/>
        </w:rPr>
      </w:pPr>
      <w:r>
        <w:rPr>
          <w:rFonts w:ascii="Bookman Old Style" w:eastAsia="Arial Unicode MS" w:hAnsi="Bookman Old Style"/>
          <w:b/>
          <w:smallCaps/>
          <w:color w:val="000000"/>
          <w:sz w:val="22"/>
          <w:szCs w:val="22"/>
          <w:u w:color="000000"/>
        </w:rPr>
        <w:t xml:space="preserve">Commissioni bilancio congiunte </w:t>
      </w:r>
      <w:r w:rsidR="000C2B8C">
        <w:rPr>
          <w:rFonts w:ascii="Bookman Old Style" w:eastAsia="Arial Unicode MS" w:hAnsi="Bookman Old Style"/>
          <w:b/>
          <w:smallCaps/>
          <w:color w:val="000000"/>
          <w:sz w:val="22"/>
          <w:szCs w:val="22"/>
          <w:u w:color="000000"/>
        </w:rPr>
        <w:t>Camera e Senato</w:t>
      </w:r>
    </w:p>
    <w:p w:rsidR="00887CE9" w:rsidRPr="009B2E7A" w:rsidRDefault="00887CE9" w:rsidP="00887CE9">
      <w:pPr>
        <w:spacing w:before="60" w:after="240" w:line="360" w:lineRule="auto"/>
        <w:jc w:val="center"/>
        <w:outlineLvl w:val="0"/>
        <w:rPr>
          <w:rFonts w:ascii="Bookman Old Style" w:eastAsia="Arial Unicode MS" w:hAnsi="Bookman Old Style"/>
          <w:b/>
          <w:smallCaps/>
          <w:color w:val="000000"/>
          <w:sz w:val="22"/>
          <w:szCs w:val="22"/>
          <w:u w:color="000000"/>
        </w:rPr>
      </w:pPr>
    </w:p>
    <w:p w:rsidR="00887CE9" w:rsidRPr="009B2E7A" w:rsidRDefault="00887CE9" w:rsidP="00887CE9">
      <w:pPr>
        <w:spacing w:before="60" w:after="240" w:line="360" w:lineRule="auto"/>
        <w:jc w:val="center"/>
        <w:outlineLvl w:val="0"/>
        <w:rPr>
          <w:rFonts w:ascii="Bookman Old Style" w:eastAsia="Arial Unicode MS" w:hAnsi="Bookman Old Style"/>
          <w:b/>
          <w:smallCaps/>
          <w:color w:val="000000"/>
          <w:sz w:val="22"/>
          <w:szCs w:val="22"/>
          <w:u w:color="000000"/>
        </w:rPr>
      </w:pPr>
    </w:p>
    <w:p w:rsidR="00887CE9" w:rsidRPr="009B2E7A" w:rsidRDefault="00887CE9" w:rsidP="00887CE9">
      <w:pPr>
        <w:spacing w:before="60" w:after="240" w:line="360" w:lineRule="auto"/>
        <w:jc w:val="center"/>
        <w:outlineLvl w:val="0"/>
        <w:rPr>
          <w:rFonts w:ascii="Bookman Old Style" w:eastAsia="Arial Unicode MS" w:hAnsi="Bookman Old Style"/>
          <w:b/>
          <w:smallCaps/>
          <w:color w:val="000000"/>
          <w:sz w:val="22"/>
          <w:szCs w:val="22"/>
          <w:u w:color="000000"/>
        </w:rPr>
      </w:pPr>
    </w:p>
    <w:p w:rsidR="00887CE9" w:rsidRPr="009B2E7A" w:rsidRDefault="00887CE9" w:rsidP="00887CE9">
      <w:pPr>
        <w:spacing w:before="60" w:after="240" w:line="360" w:lineRule="auto"/>
        <w:jc w:val="center"/>
        <w:outlineLvl w:val="0"/>
        <w:rPr>
          <w:rFonts w:ascii="Bookman Old Style" w:eastAsia="Arial Unicode MS" w:hAnsi="Bookman Old Style"/>
          <w:smallCaps/>
          <w:color w:val="000000"/>
          <w:sz w:val="22"/>
          <w:szCs w:val="22"/>
          <w:u w:color="000000"/>
        </w:rPr>
      </w:pPr>
      <w:r>
        <w:rPr>
          <w:rFonts w:ascii="Bookman Old Style" w:eastAsia="Arial Unicode MS" w:hAnsi="Bookman Old Style"/>
          <w:smallCaps/>
          <w:color w:val="000000"/>
          <w:sz w:val="22"/>
          <w:szCs w:val="22"/>
          <w:u w:color="000000"/>
        </w:rPr>
        <w:t>Roma, 14 aprile 2014</w:t>
      </w:r>
    </w:p>
    <w:p w:rsidR="00915713" w:rsidRDefault="00915713">
      <w:pPr>
        <w:widowControl/>
        <w:autoSpaceDN/>
        <w:textAlignment w:val="auto"/>
        <w:rPr>
          <w:rFonts w:ascii="Bookman Old Style" w:hAnsi="Bookman Old Style"/>
          <w:b/>
          <w:sz w:val="22"/>
          <w:szCs w:val="22"/>
        </w:rPr>
      </w:pPr>
      <w:r>
        <w:rPr>
          <w:rFonts w:ascii="Bookman Old Style" w:hAnsi="Bookman Old Style"/>
          <w:b/>
          <w:sz w:val="22"/>
          <w:szCs w:val="22"/>
        </w:rPr>
        <w:br w:type="page"/>
      </w:r>
    </w:p>
    <w:p w:rsidR="0030460B" w:rsidRPr="0030460B" w:rsidRDefault="0030460B" w:rsidP="000417FC">
      <w:pPr>
        <w:spacing w:before="60" w:after="60" w:line="420" w:lineRule="atLeast"/>
        <w:jc w:val="center"/>
        <w:outlineLvl w:val="0"/>
        <w:rPr>
          <w:rFonts w:ascii="Bookman Old Style" w:eastAsia="Arial Unicode MS" w:hAnsi="Bookman Old Style"/>
          <w:b/>
          <w:color w:val="000000"/>
          <w:sz w:val="22"/>
          <w:szCs w:val="22"/>
          <w:u w:color="000000"/>
        </w:rPr>
      </w:pPr>
      <w:r w:rsidRPr="0030460B">
        <w:rPr>
          <w:rFonts w:ascii="Bookman Old Style" w:eastAsia="Arial Unicode MS" w:hAnsi="Bookman Old Style"/>
          <w:b/>
          <w:color w:val="000000"/>
          <w:sz w:val="22"/>
          <w:szCs w:val="22"/>
          <w:u w:color="000000"/>
        </w:rPr>
        <w:lastRenderedPageBreak/>
        <w:t>CONSIDERAZIONI GENERALI</w:t>
      </w:r>
    </w:p>
    <w:p w:rsidR="0030460B" w:rsidRPr="001368CC" w:rsidRDefault="0030460B" w:rsidP="006A6089">
      <w:pPr>
        <w:spacing w:before="60" w:after="60" w:line="420" w:lineRule="atLeast"/>
        <w:jc w:val="both"/>
        <w:outlineLvl w:val="0"/>
        <w:rPr>
          <w:rFonts w:ascii="Bookman Old Style" w:eastAsia="Arial Unicode MS" w:hAnsi="Bookman Old Style"/>
          <w:color w:val="000000"/>
          <w:sz w:val="22"/>
          <w:szCs w:val="22"/>
          <w:u w:color="000000"/>
        </w:rPr>
      </w:pPr>
      <w:r w:rsidRPr="001368CC">
        <w:rPr>
          <w:rFonts w:ascii="Bookman Old Style" w:eastAsia="Arial Unicode MS" w:hAnsi="Bookman Old Style"/>
          <w:color w:val="000000"/>
          <w:sz w:val="22"/>
          <w:szCs w:val="22"/>
          <w:u w:color="000000"/>
        </w:rPr>
        <w:t xml:space="preserve">Le osservazioni che vengono avanzate qui di seguito riflettono sia una valutazione degli elementi e degli spunti offerti dal Documento di economia e finanza </w:t>
      </w:r>
      <w:r w:rsidR="001368CC" w:rsidRPr="001368CC">
        <w:rPr>
          <w:rFonts w:ascii="Bookman Old Style" w:eastAsia="Arial Unicode MS" w:hAnsi="Bookman Old Style"/>
          <w:color w:val="000000"/>
          <w:sz w:val="22"/>
          <w:szCs w:val="22"/>
          <w:u w:color="000000"/>
        </w:rPr>
        <w:t>2014</w:t>
      </w:r>
      <w:r w:rsidRPr="001368CC">
        <w:rPr>
          <w:rFonts w:ascii="Bookman Old Style" w:eastAsia="Arial Unicode MS" w:hAnsi="Bookman Old Style"/>
          <w:color w:val="000000"/>
          <w:sz w:val="22"/>
          <w:szCs w:val="22"/>
          <w:u w:color="000000"/>
        </w:rPr>
        <w:t>, sia una loro contestualizzazione rispetto alle problematiche che investono il comparto delle Amministrazioni comunali.</w:t>
      </w:r>
    </w:p>
    <w:p w:rsidR="00671A2A" w:rsidRDefault="00671A2A" w:rsidP="00671A2A">
      <w:pPr>
        <w:spacing w:before="60" w:after="60" w:line="420" w:lineRule="atLeast"/>
        <w:jc w:val="both"/>
        <w:outlineLvl w:val="0"/>
        <w:rPr>
          <w:rFonts w:ascii="Bookman Old Style" w:eastAsia="Arial Unicode MS" w:hAnsi="Bookman Old Style"/>
          <w:color w:val="000000"/>
          <w:sz w:val="22"/>
          <w:szCs w:val="22"/>
        </w:rPr>
      </w:pPr>
      <w:r>
        <w:rPr>
          <w:rFonts w:ascii="Bookman Old Style" w:eastAsia="Arial Unicode MS" w:hAnsi="Bookman Old Style"/>
          <w:color w:val="000000"/>
          <w:sz w:val="22"/>
          <w:szCs w:val="22"/>
          <w:u w:val="single"/>
        </w:rPr>
        <w:t xml:space="preserve">In relazione al </w:t>
      </w:r>
      <w:r>
        <w:rPr>
          <w:rFonts w:ascii="Bookman Old Style" w:eastAsia="Arial Unicode MS" w:hAnsi="Bookman Old Style"/>
          <w:b/>
          <w:color w:val="000000"/>
          <w:sz w:val="22"/>
          <w:szCs w:val="22"/>
          <w:u w:val="single"/>
        </w:rPr>
        <w:t xml:space="preserve">PROGRAMMA NAZIONALE DI RIFORMA, </w:t>
      </w:r>
      <w:r>
        <w:rPr>
          <w:rFonts w:ascii="Bookman Old Style" w:eastAsia="Arial Unicode MS" w:hAnsi="Bookman Old Style"/>
          <w:color w:val="000000"/>
          <w:sz w:val="22"/>
          <w:szCs w:val="22"/>
        </w:rPr>
        <w:t>si avanzano le seguenti considerazioni:</w:t>
      </w:r>
    </w:p>
    <w:p w:rsidR="00671A2A" w:rsidRDefault="00671A2A" w:rsidP="00671A2A">
      <w:pPr>
        <w:spacing w:before="60" w:after="60" w:line="420" w:lineRule="atLeast"/>
        <w:jc w:val="both"/>
        <w:outlineLvl w:val="0"/>
        <w:rPr>
          <w:rFonts w:ascii="Bookman Old Style" w:eastAsia="Arial Unicode MS" w:hAnsi="Bookman Old Style"/>
          <w:color w:val="000000"/>
          <w:sz w:val="22"/>
          <w:szCs w:val="22"/>
        </w:rPr>
      </w:pPr>
      <w:r>
        <w:rPr>
          <w:rFonts w:ascii="Bookman Old Style" w:eastAsia="Arial Unicode MS" w:hAnsi="Bookman Old Style"/>
          <w:color w:val="000000"/>
          <w:sz w:val="22"/>
          <w:szCs w:val="22"/>
        </w:rPr>
        <w:t>Si condivide il percorso di riforma costituzionale finalizzato ad adeguare l’iter legis superando il sistema della doppia lettura conforme e trasformando il Senato in Camera di rappresentanza dei Comuni, delle Città metropolitane  e delle Regioni.</w:t>
      </w:r>
    </w:p>
    <w:p w:rsidR="00671A2A" w:rsidRDefault="00671A2A" w:rsidP="00671A2A">
      <w:pPr>
        <w:spacing w:before="60" w:after="60" w:line="420" w:lineRule="atLeast"/>
        <w:jc w:val="both"/>
        <w:outlineLvl w:val="0"/>
        <w:rPr>
          <w:rFonts w:ascii="Bookman Old Style" w:eastAsia="Arial Unicode MS" w:hAnsi="Bookman Old Style"/>
          <w:color w:val="000000"/>
          <w:sz w:val="22"/>
          <w:szCs w:val="22"/>
        </w:rPr>
      </w:pPr>
      <w:r>
        <w:rPr>
          <w:rFonts w:ascii="Bookman Old Style" w:eastAsia="Arial Unicode MS" w:hAnsi="Bookman Old Style"/>
          <w:color w:val="000000"/>
          <w:sz w:val="22"/>
          <w:szCs w:val="22"/>
        </w:rPr>
        <w:t>Si ritiene assolutamente urgente promuovere un ridisegno complessivo del personale e della dirigenza pubblica, che dia autonomia e responsabilità ai singoli enti di gestire le politiche per il personale, tenendo conto solo di alcuni vincoli di carattere generale, di riorganizzare le strutture amministrative e burocratiche dotandole delle competenze professionali, procedendo come l’Anci chiede da tempo ad un processo di svecchiamento del personale.</w:t>
      </w:r>
    </w:p>
    <w:p w:rsidR="00671A2A" w:rsidRDefault="00671A2A" w:rsidP="00671A2A">
      <w:pPr>
        <w:spacing w:before="60" w:after="60" w:line="420" w:lineRule="atLeast"/>
        <w:jc w:val="both"/>
        <w:outlineLvl w:val="0"/>
        <w:rPr>
          <w:rFonts w:ascii="Bookman Old Style" w:eastAsia="Arial Unicode MS" w:hAnsi="Bookman Old Style"/>
          <w:b/>
          <w:color w:val="000000"/>
          <w:sz w:val="22"/>
          <w:szCs w:val="22"/>
        </w:rPr>
      </w:pPr>
      <w:r>
        <w:rPr>
          <w:rFonts w:ascii="Bookman Old Style" w:eastAsia="Arial Unicode MS" w:hAnsi="Bookman Old Style"/>
          <w:color w:val="000000"/>
          <w:sz w:val="22"/>
          <w:szCs w:val="22"/>
        </w:rPr>
        <w:t xml:space="preserve">In ordine agli interventi relativi al Piano Casa e al Piano per l’edilizia scolastica, evidenziando l’esigenza di definire risorse congrue e sufficienti, si ribadisce che ogni iniziativa va accompagnata con un alleggerimento dei vincoli sul Patto di Stabilità e si chiede di </w:t>
      </w:r>
      <w:r>
        <w:rPr>
          <w:rFonts w:ascii="Bookman Old Style" w:eastAsia="Arial Unicode MS" w:hAnsi="Bookman Old Style"/>
          <w:b/>
          <w:color w:val="000000"/>
          <w:sz w:val="22"/>
          <w:szCs w:val="22"/>
        </w:rPr>
        <w:t>prevedere una profonda revisione dello stesso a partire dal 2015.</w:t>
      </w:r>
    </w:p>
    <w:p w:rsidR="00671A2A" w:rsidRDefault="00671A2A" w:rsidP="00671A2A">
      <w:pPr>
        <w:spacing w:before="60" w:after="60" w:line="420" w:lineRule="atLeast"/>
        <w:jc w:val="both"/>
        <w:outlineLvl w:val="0"/>
        <w:rPr>
          <w:rFonts w:ascii="Bookman Old Style" w:eastAsia="Arial Unicode MS" w:hAnsi="Bookman Old Style"/>
          <w:color w:val="000000"/>
          <w:sz w:val="22"/>
          <w:szCs w:val="22"/>
        </w:rPr>
      </w:pPr>
      <w:r>
        <w:rPr>
          <w:rFonts w:ascii="Bookman Old Style" w:eastAsia="Arial Unicode MS" w:hAnsi="Bookman Old Style"/>
          <w:color w:val="000000"/>
          <w:sz w:val="22"/>
          <w:szCs w:val="22"/>
        </w:rPr>
        <w:t>In ordine alla problematica relativa ai servizi pubblici locali, condividendo l’esigenza di apprestare strumenti anche giuridici per stimolare processi di aggregazione in alcuni settori strategici, si ritiene opportuno promuovere l’elaborazione di un regime normativo che accompagni in modo graduale un processo di efficientamento e razionalizzazione, nonché di apertura al mercato.</w:t>
      </w:r>
    </w:p>
    <w:p w:rsidR="00671A2A" w:rsidRDefault="00671A2A" w:rsidP="00671A2A">
      <w:pPr>
        <w:spacing w:before="60" w:after="60" w:line="420" w:lineRule="atLeast"/>
        <w:jc w:val="both"/>
        <w:outlineLvl w:val="0"/>
        <w:rPr>
          <w:rFonts w:ascii="Bookman Old Style" w:eastAsia="Arial Unicode MS" w:hAnsi="Bookman Old Style"/>
          <w:b/>
          <w:color w:val="000000"/>
          <w:sz w:val="22"/>
          <w:szCs w:val="22"/>
        </w:rPr>
      </w:pPr>
    </w:p>
    <w:p w:rsidR="00671A2A" w:rsidRDefault="00671A2A" w:rsidP="00671A2A">
      <w:pPr>
        <w:spacing w:before="60" w:after="60" w:line="420" w:lineRule="atLeast"/>
        <w:jc w:val="both"/>
        <w:outlineLvl w:val="0"/>
        <w:rPr>
          <w:rFonts w:ascii="Bookman Old Style" w:eastAsia="Arial Unicode MS" w:hAnsi="Bookman Old Style"/>
          <w:b/>
          <w:color w:val="000000"/>
          <w:sz w:val="22"/>
          <w:szCs w:val="22"/>
          <w:u w:val="single"/>
        </w:rPr>
      </w:pPr>
      <w:r>
        <w:rPr>
          <w:rFonts w:ascii="Bookman Old Style" w:eastAsia="Arial Unicode MS" w:hAnsi="Bookman Old Style"/>
          <w:b/>
          <w:color w:val="000000"/>
          <w:sz w:val="22"/>
          <w:szCs w:val="22"/>
          <w:u w:val="single"/>
        </w:rPr>
        <w:t>Per quanto riguarda più squisitamente le questioni che toccano la finanza comunale, l’ANCI evidenzia ancora una volta come nella valutazione delle dinamiche di finanza pubblica non si specifichi il ruolo svolto dai singoli Comparti, impedendo una corretta valutazione  del contributo offerto dai Comuni al risanamento dei conti pubblici</w:t>
      </w:r>
      <w:r>
        <w:rPr>
          <w:rFonts w:ascii="Bookman Old Style" w:eastAsia="Arial Unicode MS" w:hAnsi="Bookman Old Style"/>
          <w:color w:val="000000"/>
          <w:sz w:val="22"/>
          <w:szCs w:val="22"/>
        </w:rPr>
        <w:t>.</w:t>
      </w:r>
    </w:p>
    <w:p w:rsidR="0030460B" w:rsidRPr="006A6089" w:rsidRDefault="0030460B" w:rsidP="006A6089">
      <w:pPr>
        <w:spacing w:before="60" w:after="60" w:line="420" w:lineRule="atLeast"/>
        <w:jc w:val="both"/>
        <w:outlineLvl w:val="0"/>
        <w:rPr>
          <w:rFonts w:ascii="Bookman Old Style" w:eastAsia="Arial Unicode MS" w:hAnsi="Bookman Old Style"/>
          <w:color w:val="000000"/>
          <w:sz w:val="22"/>
          <w:szCs w:val="22"/>
          <w:u w:color="000000"/>
        </w:rPr>
      </w:pPr>
      <w:r w:rsidRPr="001368CC">
        <w:rPr>
          <w:rFonts w:ascii="Bookman Old Style" w:eastAsia="Arial Unicode MS" w:hAnsi="Bookman Old Style"/>
          <w:color w:val="000000"/>
          <w:sz w:val="22"/>
          <w:szCs w:val="22"/>
          <w:u w:color="000000"/>
        </w:rPr>
        <w:t xml:space="preserve"> Uno dei requisiti che la nuova documentazione di bilancio doveva avere era quella di </w:t>
      </w:r>
      <w:r w:rsidRPr="001368CC">
        <w:rPr>
          <w:rFonts w:ascii="Bookman Old Style" w:eastAsia="Arial Unicode MS" w:hAnsi="Bookman Old Style"/>
          <w:color w:val="000000"/>
          <w:sz w:val="22"/>
          <w:szCs w:val="22"/>
          <w:u w:color="000000"/>
        </w:rPr>
        <w:lastRenderedPageBreak/>
        <w:t>rendicontare l’operato dei singoli comparti, in modo da fornire, specie al Parlamento, che poi si trova chiamato a votare pesanti manovre nei confronti dei singoli livelli di governo, le dovute informazioni riguardo al comportamento degli enti rispetto agli obiettivi assegnati.</w:t>
      </w:r>
      <w:r w:rsidRPr="006A6089">
        <w:rPr>
          <w:rFonts w:ascii="Bookman Old Style" w:eastAsia="Arial Unicode MS" w:hAnsi="Bookman Old Style"/>
          <w:color w:val="000000"/>
          <w:sz w:val="22"/>
          <w:szCs w:val="22"/>
          <w:u w:color="000000"/>
        </w:rPr>
        <w:t xml:space="preserve"> </w:t>
      </w:r>
    </w:p>
    <w:p w:rsidR="001741E4"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I Comuni rappresentano solo il 7,6 per cento della </w:t>
      </w:r>
      <w:r w:rsidRPr="006A6089">
        <w:rPr>
          <w:rFonts w:ascii="Bookman Old Style" w:eastAsia="Arial Unicode MS" w:hAnsi="Bookman Old Style"/>
          <w:b/>
          <w:color w:val="000000"/>
          <w:sz w:val="22"/>
          <w:szCs w:val="22"/>
          <w:u w:color="000000"/>
        </w:rPr>
        <w:t>spesa pubblica totale</w:t>
      </w:r>
      <w:r w:rsidRPr="006A6089">
        <w:rPr>
          <w:rFonts w:ascii="Bookman Old Style" w:eastAsia="Arial Unicode MS" w:hAnsi="Bookman Old Style"/>
          <w:color w:val="000000"/>
          <w:sz w:val="22"/>
          <w:szCs w:val="22"/>
          <w:u w:color="000000"/>
        </w:rPr>
        <w:t>, quindi il controllo dei conti dovrebbe essere esercitato sui settori che rappresentano il peso più rilevante della spesa pubblica, in primo luogo le amministrazioni centrali dello Stato.</w:t>
      </w:r>
    </w:p>
    <w:p w:rsidR="008E61ED" w:rsidRPr="006A6089" w:rsidRDefault="008E61ED" w:rsidP="008E61ED">
      <w:pPr>
        <w:spacing w:before="60" w:after="60" w:line="420" w:lineRule="atLeast"/>
        <w:jc w:val="center"/>
        <w:outlineLvl w:val="0"/>
        <w:rPr>
          <w:rFonts w:ascii="Bookman Old Style" w:eastAsia="Arial Unicode MS" w:hAnsi="Bookman Old Style"/>
          <w:color w:val="000000"/>
          <w:sz w:val="22"/>
          <w:szCs w:val="22"/>
          <w:u w:color="000000"/>
        </w:rPr>
      </w:pPr>
      <w:r w:rsidRPr="009642D9">
        <w:rPr>
          <w:rFonts w:ascii="Book Antiqua" w:hAnsi="Book Antiqua"/>
          <w:smallCaps/>
          <w:noProof/>
          <w:lang w:eastAsia="it-IT"/>
        </w:rPr>
        <w:drawing>
          <wp:inline distT="0" distB="0" distL="0" distR="0" wp14:anchorId="0D2F13A5" wp14:editId="621153BE">
            <wp:extent cx="5381885" cy="3240000"/>
            <wp:effectExtent l="0" t="0" r="9525" b="17780"/>
            <wp:docPr id="8" name="Gra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41E4" w:rsidRPr="006A6089"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I  Comuni rappresentano poi solo il 2,5% del </w:t>
      </w:r>
      <w:r w:rsidRPr="006A6089">
        <w:rPr>
          <w:rFonts w:ascii="Bookman Old Style" w:eastAsia="Arial Unicode MS" w:hAnsi="Bookman Old Style"/>
          <w:b/>
          <w:color w:val="000000"/>
          <w:sz w:val="22"/>
          <w:szCs w:val="22"/>
          <w:u w:color="000000"/>
        </w:rPr>
        <w:t>debito totale</w:t>
      </w:r>
      <w:r w:rsidRPr="006A6089">
        <w:rPr>
          <w:rFonts w:ascii="Bookman Old Style" w:eastAsia="Arial Unicode MS" w:hAnsi="Bookman Old Style"/>
          <w:color w:val="000000"/>
          <w:sz w:val="22"/>
          <w:szCs w:val="22"/>
          <w:u w:color="000000"/>
        </w:rPr>
        <w:t xml:space="preserve"> e peraltro i Comuni possono indebitarsi solo per investimenti.</w:t>
      </w:r>
    </w:p>
    <w:p w:rsidR="001741E4"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Dal 2007 </w:t>
      </w:r>
      <w:r w:rsidR="009A618F">
        <w:rPr>
          <w:rFonts w:ascii="Bookman Old Style" w:eastAsia="Arial Unicode MS" w:hAnsi="Bookman Old Style"/>
          <w:color w:val="000000"/>
          <w:sz w:val="22"/>
          <w:szCs w:val="22"/>
          <w:u w:color="000000"/>
        </w:rPr>
        <w:t xml:space="preserve">al 2014 i Comuni contribuiscono </w:t>
      </w:r>
      <w:r w:rsidRPr="006A6089">
        <w:rPr>
          <w:rFonts w:ascii="Bookman Old Style" w:eastAsia="Arial Unicode MS" w:hAnsi="Bookman Old Style"/>
          <w:color w:val="000000"/>
          <w:sz w:val="22"/>
          <w:szCs w:val="22"/>
          <w:u w:color="000000"/>
        </w:rPr>
        <w:t xml:space="preserve">al </w:t>
      </w:r>
      <w:r w:rsidRPr="006A6089">
        <w:rPr>
          <w:rFonts w:ascii="Bookman Old Style" w:eastAsia="Arial Unicode MS" w:hAnsi="Bookman Old Style"/>
          <w:b/>
          <w:color w:val="000000"/>
          <w:sz w:val="22"/>
          <w:szCs w:val="22"/>
          <w:u w:color="000000"/>
        </w:rPr>
        <w:t>risanamento della finanza pubblica</w:t>
      </w:r>
      <w:r w:rsidR="001368CC">
        <w:rPr>
          <w:rFonts w:ascii="Bookman Old Style" w:eastAsia="Arial Unicode MS" w:hAnsi="Bookman Old Style"/>
          <w:color w:val="000000"/>
          <w:sz w:val="22"/>
          <w:szCs w:val="22"/>
          <w:u w:color="000000"/>
        </w:rPr>
        <w:t xml:space="preserve"> </w:t>
      </w:r>
      <w:r w:rsidR="008E61ED">
        <w:rPr>
          <w:rFonts w:ascii="Bookman Old Style" w:eastAsia="Arial Unicode MS" w:hAnsi="Bookman Old Style"/>
          <w:color w:val="000000"/>
          <w:sz w:val="22"/>
          <w:szCs w:val="22"/>
          <w:u w:color="000000"/>
        </w:rPr>
        <w:t xml:space="preserve">per oltre </w:t>
      </w:r>
      <w:r w:rsidRPr="006A6089">
        <w:rPr>
          <w:rFonts w:ascii="Bookman Old Style" w:eastAsia="Arial Unicode MS" w:hAnsi="Bookman Old Style"/>
          <w:color w:val="000000"/>
          <w:sz w:val="22"/>
          <w:szCs w:val="22"/>
          <w:u w:color="000000"/>
        </w:rPr>
        <w:t>16 miliardi</w:t>
      </w:r>
      <w:r w:rsidR="008E61ED">
        <w:rPr>
          <w:rFonts w:ascii="Bookman Old Style" w:eastAsia="Arial Unicode MS" w:hAnsi="Bookman Old Style"/>
          <w:color w:val="000000"/>
          <w:sz w:val="22"/>
          <w:szCs w:val="22"/>
          <w:u w:color="000000"/>
        </w:rPr>
        <w:t xml:space="preserve"> di euro</w:t>
      </w:r>
      <w:r w:rsidRPr="006A6089">
        <w:rPr>
          <w:rFonts w:ascii="Bookman Old Style" w:eastAsia="Arial Unicode MS" w:hAnsi="Bookman Old Style"/>
          <w:color w:val="000000"/>
          <w:sz w:val="22"/>
          <w:szCs w:val="22"/>
          <w:u w:color="000000"/>
        </w:rPr>
        <w:t xml:space="preserve">, di cui 8 miliardi e 700 </w:t>
      </w:r>
      <w:r w:rsidR="008E61ED">
        <w:rPr>
          <w:rFonts w:ascii="Bookman Old Style" w:eastAsia="Arial Unicode MS" w:hAnsi="Bookman Old Style"/>
          <w:color w:val="000000"/>
          <w:sz w:val="22"/>
          <w:szCs w:val="22"/>
          <w:u w:color="000000"/>
        </w:rPr>
        <w:t xml:space="preserve">milioni </w:t>
      </w:r>
      <w:r w:rsidR="005B2D88">
        <w:rPr>
          <w:rFonts w:ascii="Bookman Old Style" w:eastAsia="Arial Unicode MS" w:hAnsi="Bookman Old Style"/>
          <w:color w:val="000000"/>
          <w:sz w:val="22"/>
          <w:szCs w:val="22"/>
          <w:u w:color="000000"/>
        </w:rPr>
        <w:t>in termini di P</w:t>
      </w:r>
      <w:r w:rsidRPr="006A6089">
        <w:rPr>
          <w:rFonts w:ascii="Bookman Old Style" w:eastAsia="Arial Unicode MS" w:hAnsi="Bookman Old Style"/>
          <w:color w:val="000000"/>
          <w:sz w:val="22"/>
          <w:szCs w:val="22"/>
          <w:u w:color="000000"/>
        </w:rPr>
        <w:t xml:space="preserve">atto di </w:t>
      </w:r>
      <w:r w:rsidR="005B2D88">
        <w:rPr>
          <w:rFonts w:ascii="Bookman Old Style" w:eastAsia="Arial Unicode MS" w:hAnsi="Bookman Old Style"/>
          <w:color w:val="000000"/>
          <w:sz w:val="22"/>
          <w:szCs w:val="22"/>
          <w:u w:color="000000"/>
        </w:rPr>
        <w:t>S</w:t>
      </w:r>
      <w:r w:rsidRPr="006A6089">
        <w:rPr>
          <w:rFonts w:ascii="Bookman Old Style" w:eastAsia="Arial Unicode MS" w:hAnsi="Bookman Old Style"/>
          <w:color w:val="000000"/>
          <w:sz w:val="22"/>
          <w:szCs w:val="22"/>
          <w:u w:color="000000"/>
        </w:rPr>
        <w:t>tabilità interno e 7</w:t>
      </w:r>
      <w:r w:rsidR="00057E41">
        <w:rPr>
          <w:rFonts w:ascii="Bookman Old Style" w:eastAsia="Arial Unicode MS" w:hAnsi="Bookman Old Style"/>
          <w:color w:val="000000"/>
          <w:sz w:val="22"/>
          <w:szCs w:val="22"/>
          <w:u w:color="000000"/>
        </w:rPr>
        <w:t xml:space="preserve"> </w:t>
      </w:r>
      <w:r w:rsidRPr="006A6089">
        <w:rPr>
          <w:rFonts w:ascii="Bookman Old Style" w:eastAsia="Arial Unicode MS" w:hAnsi="Bookman Old Style"/>
          <w:color w:val="000000"/>
          <w:sz w:val="22"/>
          <w:szCs w:val="22"/>
          <w:u w:color="000000"/>
        </w:rPr>
        <w:t xml:space="preserve">miliardi </w:t>
      </w:r>
      <w:r w:rsidR="00057E41">
        <w:rPr>
          <w:rFonts w:ascii="Bookman Old Style" w:eastAsia="Arial Unicode MS" w:hAnsi="Bookman Old Style"/>
          <w:color w:val="000000"/>
          <w:sz w:val="22"/>
          <w:szCs w:val="22"/>
          <w:u w:color="000000"/>
        </w:rPr>
        <w:t xml:space="preserve">e 300 milioni di euro </w:t>
      </w:r>
      <w:r w:rsidRPr="006A6089">
        <w:rPr>
          <w:rFonts w:ascii="Bookman Old Style" w:eastAsia="Arial Unicode MS" w:hAnsi="Bookman Old Style"/>
          <w:color w:val="000000"/>
          <w:sz w:val="22"/>
          <w:szCs w:val="22"/>
          <w:u w:color="000000"/>
        </w:rPr>
        <w:t>in termini di riduzione di trasferimenti.</w:t>
      </w:r>
    </w:p>
    <w:tbl>
      <w:tblPr>
        <w:tblW w:w="3600" w:type="dxa"/>
        <w:jc w:val="center"/>
        <w:tblCellMar>
          <w:left w:w="70" w:type="dxa"/>
          <w:right w:w="70" w:type="dxa"/>
        </w:tblCellMar>
        <w:tblLook w:val="04A0" w:firstRow="1" w:lastRow="0" w:firstColumn="1" w:lastColumn="0" w:noHBand="0" w:noVBand="1"/>
      </w:tblPr>
      <w:tblGrid>
        <w:gridCol w:w="2200"/>
        <w:gridCol w:w="1400"/>
      </w:tblGrid>
      <w:tr w:rsidR="008E61ED" w:rsidRPr="008E61ED" w:rsidTr="00F54046">
        <w:trPr>
          <w:trHeight w:val="1125"/>
          <w:jc w:val="center"/>
        </w:trPr>
        <w:tc>
          <w:tcPr>
            <w:tcW w:w="3600" w:type="dxa"/>
            <w:gridSpan w:val="2"/>
            <w:tcBorders>
              <w:top w:val="nil"/>
              <w:left w:val="nil"/>
              <w:bottom w:val="nil"/>
              <w:right w:val="nil"/>
            </w:tcBorders>
            <w:shd w:val="clear" w:color="000000" w:fill="FFFFFF"/>
            <w:vAlign w:val="center"/>
            <w:hideMark/>
          </w:tcPr>
          <w:p w:rsidR="008E61ED" w:rsidRPr="008E61ED" w:rsidRDefault="008E61ED" w:rsidP="008E61ED">
            <w:pPr>
              <w:widowControl/>
              <w:autoSpaceDN/>
              <w:jc w:val="center"/>
              <w:textAlignment w:val="auto"/>
              <w:rPr>
                <w:rFonts w:ascii="Book Antiqua" w:eastAsia="Times New Roman" w:hAnsi="Book Antiqua" w:cs="Arial"/>
                <w:b/>
                <w:bCs/>
                <w:color w:val="000080"/>
                <w:kern w:val="0"/>
                <w:lang w:eastAsia="it-IT"/>
              </w:rPr>
            </w:pPr>
            <w:r w:rsidRPr="008E61ED">
              <w:rPr>
                <w:rFonts w:ascii="Book Antiqua" w:eastAsia="Times New Roman" w:hAnsi="Book Antiqua" w:cs="Arial"/>
                <w:b/>
                <w:bCs/>
                <w:color w:val="000080"/>
                <w:kern w:val="0"/>
                <w:lang w:eastAsia="it-IT"/>
              </w:rPr>
              <w:t xml:space="preserve">LA MANOVRA DEL COMPARTO COMUNALE </w:t>
            </w:r>
            <w:r w:rsidRPr="008E61ED">
              <w:rPr>
                <w:rFonts w:ascii="Book Antiqua" w:eastAsia="Times New Roman" w:hAnsi="Book Antiqua" w:cs="Arial"/>
                <w:b/>
                <w:bCs/>
                <w:color w:val="000080"/>
                <w:kern w:val="0"/>
                <w:lang w:eastAsia="it-IT"/>
              </w:rPr>
              <w:br/>
              <w:t>ANNI 2007-2014</w:t>
            </w:r>
          </w:p>
        </w:tc>
      </w:tr>
      <w:tr w:rsidR="008E61ED" w:rsidRPr="008E61ED" w:rsidTr="00F54046">
        <w:trPr>
          <w:trHeight w:val="600"/>
          <w:jc w:val="center"/>
        </w:trPr>
        <w:tc>
          <w:tcPr>
            <w:tcW w:w="2200" w:type="dxa"/>
            <w:tcBorders>
              <w:top w:val="nil"/>
              <w:left w:val="nil"/>
              <w:bottom w:val="nil"/>
              <w:right w:val="nil"/>
            </w:tcBorders>
            <w:shd w:val="clear" w:color="auto" w:fill="auto"/>
            <w:noWrap/>
            <w:vAlign w:val="bottom"/>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p>
        </w:tc>
        <w:tc>
          <w:tcPr>
            <w:tcW w:w="1400" w:type="dxa"/>
            <w:vMerge w:val="restart"/>
            <w:tcBorders>
              <w:top w:val="nil"/>
              <w:left w:val="nil"/>
              <w:bottom w:val="nil"/>
              <w:right w:val="nil"/>
            </w:tcBorders>
            <w:shd w:val="clear" w:color="000000" w:fill="FFFFFF"/>
            <w:hideMark/>
          </w:tcPr>
          <w:p w:rsidR="008E61ED" w:rsidRPr="008E61ED" w:rsidRDefault="008E61ED" w:rsidP="008E61ED">
            <w:pPr>
              <w:widowControl/>
              <w:autoSpaceDN/>
              <w:jc w:val="center"/>
              <w:textAlignment w:val="auto"/>
              <w:rPr>
                <w:rFonts w:ascii="Book Antiqua" w:eastAsia="Times New Roman" w:hAnsi="Book Antiqua" w:cs="Arial"/>
                <w:b/>
                <w:bCs/>
                <w:color w:val="993366"/>
                <w:kern w:val="0"/>
                <w:lang w:eastAsia="it-IT"/>
              </w:rPr>
            </w:pPr>
            <w:r w:rsidRPr="008E61ED">
              <w:rPr>
                <w:rFonts w:ascii="Book Antiqua" w:eastAsia="Times New Roman" w:hAnsi="Book Antiqua" w:cs="Arial"/>
                <w:b/>
                <w:bCs/>
                <w:color w:val="993366"/>
                <w:kern w:val="0"/>
                <w:lang w:eastAsia="it-IT"/>
              </w:rPr>
              <w:t>Totale Cumulato 2007-2014</w:t>
            </w:r>
          </w:p>
        </w:tc>
      </w:tr>
      <w:tr w:rsidR="008E61ED" w:rsidRPr="008E61ED" w:rsidTr="00F54046">
        <w:trPr>
          <w:trHeight w:val="315"/>
          <w:jc w:val="center"/>
        </w:trPr>
        <w:tc>
          <w:tcPr>
            <w:tcW w:w="2200" w:type="dxa"/>
            <w:tcBorders>
              <w:top w:val="nil"/>
              <w:left w:val="nil"/>
              <w:bottom w:val="nil"/>
              <w:right w:val="nil"/>
            </w:tcBorders>
            <w:shd w:val="clear" w:color="000000" w:fill="FFFFFF"/>
            <w:noWrap/>
            <w:vAlign w:val="bottom"/>
            <w:hideMark/>
          </w:tcPr>
          <w:p w:rsidR="008E61ED" w:rsidRPr="008E61ED" w:rsidRDefault="008E61ED" w:rsidP="008E61ED">
            <w:pPr>
              <w:widowControl/>
              <w:autoSpaceDN/>
              <w:textAlignment w:val="auto"/>
              <w:rPr>
                <w:rFonts w:ascii="Book Antiqua" w:eastAsia="Times New Roman" w:hAnsi="Book Antiqua" w:cs="Arial"/>
                <w:b/>
                <w:bCs/>
                <w:i/>
                <w:iCs/>
                <w:kern w:val="0"/>
                <w:lang w:eastAsia="it-IT"/>
              </w:rPr>
            </w:pPr>
            <w:r w:rsidRPr="008E61ED">
              <w:rPr>
                <w:rFonts w:ascii="Book Antiqua" w:eastAsia="Times New Roman" w:hAnsi="Book Antiqua" w:cs="Arial"/>
                <w:b/>
                <w:bCs/>
                <w:i/>
                <w:iCs/>
                <w:kern w:val="0"/>
                <w:lang w:eastAsia="it-IT"/>
              </w:rPr>
              <w:t>Valori in milioni di euro</w:t>
            </w:r>
          </w:p>
        </w:tc>
        <w:tc>
          <w:tcPr>
            <w:tcW w:w="1400" w:type="dxa"/>
            <w:vMerge/>
            <w:tcBorders>
              <w:top w:val="nil"/>
              <w:left w:val="nil"/>
              <w:bottom w:val="nil"/>
              <w:right w:val="nil"/>
            </w:tcBorders>
            <w:vAlign w:val="center"/>
            <w:hideMark/>
          </w:tcPr>
          <w:p w:rsidR="008E61ED" w:rsidRPr="008E61ED" w:rsidRDefault="008E61ED" w:rsidP="008E61ED">
            <w:pPr>
              <w:widowControl/>
              <w:autoSpaceDN/>
              <w:textAlignment w:val="auto"/>
              <w:rPr>
                <w:rFonts w:ascii="Book Antiqua" w:eastAsia="Times New Roman" w:hAnsi="Book Antiqua" w:cs="Arial"/>
                <w:b/>
                <w:bCs/>
                <w:color w:val="993366"/>
                <w:kern w:val="0"/>
                <w:lang w:eastAsia="it-IT"/>
              </w:rPr>
            </w:pPr>
          </w:p>
        </w:tc>
      </w:tr>
      <w:tr w:rsidR="008E61ED" w:rsidRPr="008E61ED" w:rsidTr="00F54046">
        <w:trPr>
          <w:trHeight w:val="402"/>
          <w:jc w:val="center"/>
        </w:trPr>
        <w:tc>
          <w:tcPr>
            <w:tcW w:w="2200" w:type="dxa"/>
            <w:tcBorders>
              <w:top w:val="single" w:sz="4" w:space="0" w:color="auto"/>
              <w:left w:val="nil"/>
              <w:bottom w:val="double" w:sz="6" w:space="0" w:color="auto"/>
              <w:right w:val="nil"/>
            </w:tcBorders>
            <w:shd w:val="clear" w:color="000000" w:fill="FFFFFF"/>
            <w:noWrap/>
            <w:vAlign w:val="center"/>
            <w:hideMark/>
          </w:tcPr>
          <w:p w:rsidR="008E61ED" w:rsidRPr="008E61ED" w:rsidRDefault="008E61ED" w:rsidP="008E61ED">
            <w:pPr>
              <w:widowControl/>
              <w:autoSpaceDN/>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Manovra di cui:</w:t>
            </w:r>
          </w:p>
        </w:tc>
        <w:tc>
          <w:tcPr>
            <w:tcW w:w="1400" w:type="dxa"/>
            <w:tcBorders>
              <w:top w:val="single" w:sz="4" w:space="0" w:color="auto"/>
              <w:left w:val="nil"/>
              <w:bottom w:val="double" w:sz="6" w:space="0" w:color="auto"/>
              <w:right w:val="nil"/>
            </w:tcBorders>
            <w:shd w:val="clear" w:color="000000" w:fill="FFFFFF"/>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16 041</w:t>
            </w:r>
          </w:p>
        </w:tc>
      </w:tr>
      <w:tr w:rsidR="008E61ED" w:rsidRPr="008E61ED" w:rsidTr="00F54046">
        <w:trPr>
          <w:trHeight w:val="402"/>
          <w:jc w:val="center"/>
        </w:trPr>
        <w:tc>
          <w:tcPr>
            <w:tcW w:w="2200" w:type="dxa"/>
            <w:tcBorders>
              <w:top w:val="nil"/>
              <w:left w:val="nil"/>
              <w:bottom w:val="single" w:sz="4" w:space="0" w:color="auto"/>
              <w:right w:val="nil"/>
            </w:tcBorders>
            <w:shd w:val="clear" w:color="000000" w:fill="BFBFBF"/>
            <w:noWrap/>
            <w:vAlign w:val="center"/>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r w:rsidRPr="008E61ED">
              <w:rPr>
                <w:rFonts w:ascii="Book Antiqua" w:eastAsia="Times New Roman" w:hAnsi="Book Antiqua" w:cs="Arial"/>
                <w:color w:val="000000"/>
                <w:kern w:val="0"/>
                <w:lang w:eastAsia="it-IT"/>
              </w:rPr>
              <w:t>Patto</w:t>
            </w:r>
          </w:p>
        </w:tc>
        <w:tc>
          <w:tcPr>
            <w:tcW w:w="1400" w:type="dxa"/>
            <w:tcBorders>
              <w:top w:val="nil"/>
              <w:left w:val="nil"/>
              <w:bottom w:val="single" w:sz="4" w:space="0" w:color="auto"/>
              <w:right w:val="nil"/>
            </w:tcBorders>
            <w:shd w:val="clear" w:color="000000" w:fill="BFBFBF"/>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8 727</w:t>
            </w:r>
          </w:p>
        </w:tc>
      </w:tr>
      <w:tr w:rsidR="008E61ED" w:rsidRPr="008E61ED" w:rsidTr="00F54046">
        <w:trPr>
          <w:trHeight w:val="402"/>
          <w:jc w:val="center"/>
        </w:trPr>
        <w:tc>
          <w:tcPr>
            <w:tcW w:w="22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r w:rsidRPr="008E61ED">
              <w:rPr>
                <w:rFonts w:ascii="Book Antiqua" w:eastAsia="Times New Roman" w:hAnsi="Book Antiqua" w:cs="Arial"/>
                <w:color w:val="000000"/>
                <w:kern w:val="0"/>
                <w:lang w:eastAsia="it-IT"/>
              </w:rPr>
              <w:t>taglio D.L. 201/2011</w:t>
            </w:r>
          </w:p>
        </w:tc>
        <w:tc>
          <w:tcPr>
            <w:tcW w:w="14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1 450</w:t>
            </w:r>
          </w:p>
        </w:tc>
      </w:tr>
      <w:tr w:rsidR="008E61ED" w:rsidRPr="008E61ED" w:rsidTr="00F54046">
        <w:trPr>
          <w:trHeight w:val="402"/>
          <w:jc w:val="center"/>
        </w:trPr>
        <w:tc>
          <w:tcPr>
            <w:tcW w:w="22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r w:rsidRPr="008E61ED">
              <w:rPr>
                <w:rFonts w:ascii="Book Antiqua" w:eastAsia="Times New Roman" w:hAnsi="Book Antiqua" w:cs="Arial"/>
                <w:color w:val="000000"/>
                <w:kern w:val="0"/>
                <w:lang w:eastAsia="it-IT"/>
              </w:rPr>
              <w:lastRenderedPageBreak/>
              <w:t>taglio D.L. 78/2010</w:t>
            </w:r>
          </w:p>
        </w:tc>
        <w:tc>
          <w:tcPr>
            <w:tcW w:w="14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2 500</w:t>
            </w:r>
          </w:p>
        </w:tc>
      </w:tr>
      <w:tr w:rsidR="008E61ED" w:rsidRPr="008E61ED" w:rsidTr="00F54046">
        <w:trPr>
          <w:trHeight w:val="402"/>
          <w:jc w:val="center"/>
        </w:trPr>
        <w:tc>
          <w:tcPr>
            <w:tcW w:w="22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r w:rsidRPr="008E61ED">
              <w:rPr>
                <w:rFonts w:ascii="Book Antiqua" w:eastAsia="Times New Roman" w:hAnsi="Book Antiqua" w:cs="Arial"/>
                <w:color w:val="000000"/>
                <w:kern w:val="0"/>
                <w:lang w:eastAsia="it-IT"/>
              </w:rPr>
              <w:t>spending review</w:t>
            </w:r>
          </w:p>
        </w:tc>
        <w:tc>
          <w:tcPr>
            <w:tcW w:w="14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2 500</w:t>
            </w:r>
          </w:p>
        </w:tc>
      </w:tr>
      <w:tr w:rsidR="008E61ED" w:rsidRPr="008E61ED" w:rsidTr="00F54046">
        <w:trPr>
          <w:trHeight w:val="402"/>
          <w:jc w:val="center"/>
        </w:trPr>
        <w:tc>
          <w:tcPr>
            <w:tcW w:w="2200" w:type="dxa"/>
            <w:tcBorders>
              <w:top w:val="nil"/>
              <w:left w:val="nil"/>
              <w:bottom w:val="single" w:sz="4" w:space="0" w:color="auto"/>
              <w:right w:val="nil"/>
            </w:tcBorders>
            <w:shd w:val="clear" w:color="000000" w:fill="E6B8B7"/>
            <w:noWrap/>
            <w:vAlign w:val="center"/>
            <w:hideMark/>
          </w:tcPr>
          <w:p w:rsidR="008E61ED" w:rsidRPr="008E61ED" w:rsidRDefault="002B2C6B" w:rsidP="00F54046">
            <w:pPr>
              <w:widowControl/>
              <w:autoSpaceDN/>
              <w:textAlignment w:val="auto"/>
              <w:rPr>
                <w:rFonts w:ascii="Book Antiqua" w:eastAsia="Times New Roman" w:hAnsi="Book Antiqua" w:cs="Arial"/>
                <w:color w:val="000000"/>
                <w:kern w:val="0"/>
                <w:lang w:eastAsia="it-IT"/>
              </w:rPr>
            </w:pPr>
            <w:r>
              <w:rPr>
                <w:rFonts w:ascii="Book Antiqua" w:eastAsia="Times New Roman" w:hAnsi="Book Antiqua" w:cs="Arial"/>
                <w:color w:val="000000"/>
                <w:kern w:val="0"/>
                <w:lang w:eastAsia="it-IT"/>
              </w:rPr>
              <w:t>e</w:t>
            </w:r>
            <w:r w:rsidR="00F54046">
              <w:rPr>
                <w:rFonts w:ascii="Book Antiqua" w:eastAsia="Times New Roman" w:hAnsi="Book Antiqua" w:cs="Arial"/>
                <w:color w:val="000000"/>
                <w:kern w:val="0"/>
                <w:lang w:eastAsia="it-IT"/>
              </w:rPr>
              <w:t xml:space="preserve">rrate Stime </w:t>
            </w:r>
            <w:r w:rsidR="008E61ED" w:rsidRPr="008E61ED">
              <w:rPr>
                <w:rFonts w:ascii="Book Antiqua" w:eastAsia="Times New Roman" w:hAnsi="Book Antiqua" w:cs="Arial"/>
                <w:color w:val="000000"/>
                <w:kern w:val="0"/>
                <w:lang w:eastAsia="it-IT"/>
              </w:rPr>
              <w:t xml:space="preserve">ICI </w:t>
            </w:r>
          </w:p>
        </w:tc>
        <w:tc>
          <w:tcPr>
            <w:tcW w:w="14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464</w:t>
            </w:r>
          </w:p>
        </w:tc>
      </w:tr>
      <w:tr w:rsidR="008E61ED" w:rsidRPr="008E61ED" w:rsidTr="00F54046">
        <w:trPr>
          <w:trHeight w:val="450"/>
          <w:jc w:val="center"/>
        </w:trPr>
        <w:tc>
          <w:tcPr>
            <w:tcW w:w="22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textAlignment w:val="auto"/>
              <w:rPr>
                <w:rFonts w:ascii="Book Antiqua" w:eastAsia="Times New Roman" w:hAnsi="Book Antiqua" w:cs="Arial"/>
                <w:color w:val="000000"/>
                <w:kern w:val="0"/>
                <w:lang w:eastAsia="it-IT"/>
              </w:rPr>
            </w:pPr>
            <w:r w:rsidRPr="008E61ED">
              <w:rPr>
                <w:rFonts w:ascii="Book Antiqua" w:eastAsia="Times New Roman" w:hAnsi="Book Antiqua" w:cs="Arial"/>
                <w:color w:val="000000"/>
                <w:kern w:val="0"/>
                <w:lang w:eastAsia="it-IT"/>
              </w:rPr>
              <w:t>altri tagli minori</w:t>
            </w:r>
          </w:p>
        </w:tc>
        <w:tc>
          <w:tcPr>
            <w:tcW w:w="1400" w:type="dxa"/>
            <w:tcBorders>
              <w:top w:val="nil"/>
              <w:left w:val="nil"/>
              <w:bottom w:val="single" w:sz="4" w:space="0" w:color="auto"/>
              <w:right w:val="nil"/>
            </w:tcBorders>
            <w:shd w:val="clear" w:color="000000" w:fill="E6B8B7"/>
            <w:noWrap/>
            <w:vAlign w:val="center"/>
            <w:hideMark/>
          </w:tcPr>
          <w:p w:rsidR="008E61ED" w:rsidRPr="008E61ED" w:rsidRDefault="008E61ED" w:rsidP="008E61ED">
            <w:pPr>
              <w:widowControl/>
              <w:autoSpaceDN/>
              <w:jc w:val="right"/>
              <w:textAlignment w:val="auto"/>
              <w:rPr>
                <w:rFonts w:ascii="Book Antiqua" w:eastAsia="Times New Roman" w:hAnsi="Book Antiqua" w:cs="Arial"/>
                <w:b/>
                <w:bCs/>
                <w:color w:val="000000"/>
                <w:kern w:val="0"/>
                <w:lang w:eastAsia="it-IT"/>
              </w:rPr>
            </w:pPr>
            <w:r w:rsidRPr="008E61ED">
              <w:rPr>
                <w:rFonts w:ascii="Book Antiqua" w:eastAsia="Times New Roman" w:hAnsi="Book Antiqua" w:cs="Arial"/>
                <w:b/>
                <w:bCs/>
                <w:color w:val="000000"/>
                <w:kern w:val="0"/>
                <w:lang w:eastAsia="it-IT"/>
              </w:rPr>
              <w:t>400</w:t>
            </w:r>
          </w:p>
        </w:tc>
      </w:tr>
    </w:tbl>
    <w:p w:rsidR="008E61ED" w:rsidRPr="00F54046" w:rsidRDefault="008E61ED" w:rsidP="006A6089">
      <w:pPr>
        <w:spacing w:before="60" w:after="60" w:line="420" w:lineRule="atLeast"/>
        <w:jc w:val="both"/>
        <w:outlineLvl w:val="0"/>
        <w:rPr>
          <w:rFonts w:ascii="Bookman Old Style" w:eastAsia="Arial Unicode MS" w:hAnsi="Bookman Old Style"/>
          <w:i/>
          <w:color w:val="000000"/>
          <w:szCs w:val="22"/>
          <w:u w:color="000000"/>
        </w:rPr>
      </w:pPr>
      <w:r w:rsidRPr="00F54046">
        <w:rPr>
          <w:rFonts w:ascii="Bookman Old Style" w:eastAsia="Arial Unicode MS" w:hAnsi="Bookman Old Style"/>
          <w:i/>
          <w:color w:val="000000"/>
          <w:szCs w:val="22"/>
          <w:u w:color="000000"/>
        </w:rPr>
        <w:t>Fonte: Elaborazioni IFEL su dati Ministero dell'Interno e Ministero dell'Economia e delle Finanze</w:t>
      </w:r>
    </w:p>
    <w:p w:rsidR="001741E4" w:rsidRPr="006A6089"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I Comuni nel 2012 presentano un </w:t>
      </w:r>
      <w:r w:rsidRPr="006A6089">
        <w:rPr>
          <w:rFonts w:ascii="Bookman Old Style" w:eastAsia="Arial Unicode MS" w:hAnsi="Bookman Old Style"/>
          <w:b/>
          <w:color w:val="000000"/>
          <w:sz w:val="22"/>
          <w:szCs w:val="22"/>
          <w:u w:color="000000"/>
        </w:rPr>
        <w:t>avanzo</w:t>
      </w:r>
      <w:r w:rsidRPr="006A6089">
        <w:rPr>
          <w:rFonts w:ascii="Bookman Old Style" w:eastAsia="Arial Unicode MS" w:hAnsi="Bookman Old Style"/>
          <w:color w:val="000000"/>
          <w:sz w:val="22"/>
          <w:szCs w:val="22"/>
          <w:u w:color="000000"/>
        </w:rPr>
        <w:t xml:space="preserve"> ( differenza tra le entrate e le spese ) pari a 1 miliardo e 667 milioni, corrispondente al 2,57 percento delle entrate. Al contrario lo Stato registra un deficit di 52 miliardi, pari al 13,26% delle entrate (dati istat).</w:t>
      </w:r>
    </w:p>
    <w:p w:rsidR="001741E4"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I Comuni riducono </w:t>
      </w:r>
      <w:r w:rsidRPr="006A6089">
        <w:rPr>
          <w:rFonts w:ascii="Bookman Old Style" w:eastAsia="Arial Unicode MS" w:hAnsi="Bookman Old Style"/>
          <w:b/>
          <w:color w:val="000000"/>
          <w:sz w:val="22"/>
          <w:szCs w:val="22"/>
          <w:u w:color="000000"/>
        </w:rPr>
        <w:t>la spesa corrente</w:t>
      </w:r>
      <w:r w:rsidRPr="006A6089">
        <w:rPr>
          <w:rFonts w:ascii="Bookman Old Style" w:eastAsia="Arial Unicode MS" w:hAnsi="Bookman Old Style"/>
          <w:color w:val="000000"/>
          <w:sz w:val="22"/>
          <w:szCs w:val="22"/>
          <w:u w:color="000000"/>
        </w:rPr>
        <w:t xml:space="preserve"> del 2,5% dal 2010 al 2012 mentre la spesa corrente dello Stato conosce un aumento dell'8% rispetto al 2008 (salto nel 2009 e poi stabile dal 2009 al 2012).</w:t>
      </w:r>
    </w:p>
    <w:p w:rsidR="009A618F" w:rsidRDefault="009A618F" w:rsidP="009A618F">
      <w:pPr>
        <w:spacing w:before="60" w:after="60" w:line="420" w:lineRule="atLeast"/>
        <w:jc w:val="center"/>
        <w:outlineLvl w:val="0"/>
        <w:rPr>
          <w:rFonts w:ascii="Bookman Old Style" w:eastAsia="Arial Unicode MS" w:hAnsi="Bookman Old Style"/>
          <w:color w:val="000000"/>
          <w:sz w:val="22"/>
          <w:szCs w:val="22"/>
          <w:u w:color="000000"/>
        </w:rPr>
      </w:pPr>
      <w:r w:rsidRPr="009A618F">
        <w:rPr>
          <w:noProof/>
          <w:sz w:val="16"/>
          <w:lang w:eastAsia="it-IT"/>
        </w:rPr>
        <w:drawing>
          <wp:inline distT="0" distB="0" distL="0" distR="0" wp14:anchorId="5AC7E9DF" wp14:editId="4263F70A">
            <wp:extent cx="5331125" cy="3216774"/>
            <wp:effectExtent l="0" t="0" r="22225" b="22225"/>
            <wp:docPr id="4" name="Gra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41E4" w:rsidRPr="006A6089" w:rsidRDefault="001741E4"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 xml:space="preserve">Nell’anno 2013, </w:t>
      </w:r>
      <w:r w:rsidR="00931BB8">
        <w:rPr>
          <w:rFonts w:ascii="Bookman Old Style" w:eastAsia="Arial Unicode MS" w:hAnsi="Bookman Old Style"/>
          <w:color w:val="000000"/>
          <w:sz w:val="22"/>
          <w:szCs w:val="22"/>
          <w:u w:color="000000"/>
        </w:rPr>
        <w:t xml:space="preserve">con il decreto legge n. 35 del 2013, </w:t>
      </w:r>
      <w:r w:rsidRPr="006A6089">
        <w:rPr>
          <w:rFonts w:ascii="Bookman Old Style" w:eastAsia="Arial Unicode MS" w:hAnsi="Bookman Old Style"/>
          <w:color w:val="000000"/>
          <w:sz w:val="22"/>
          <w:szCs w:val="22"/>
          <w:u w:color="000000"/>
        </w:rPr>
        <w:t>al fine di accelerare i pagamenti in conto capitale alle imprese ven</w:t>
      </w:r>
      <w:r w:rsidR="00931BB8">
        <w:rPr>
          <w:rFonts w:ascii="Bookman Old Style" w:eastAsia="Arial Unicode MS" w:hAnsi="Bookman Old Style"/>
          <w:color w:val="000000"/>
          <w:sz w:val="22"/>
          <w:szCs w:val="22"/>
          <w:u w:color="000000"/>
        </w:rPr>
        <w:t>gono messi a disposizione dei Co</w:t>
      </w:r>
      <w:r w:rsidR="00931BB8" w:rsidRPr="006A6089">
        <w:rPr>
          <w:rFonts w:ascii="Bookman Old Style" w:eastAsia="Arial Unicode MS" w:hAnsi="Bookman Old Style"/>
          <w:color w:val="000000"/>
          <w:sz w:val="22"/>
          <w:szCs w:val="22"/>
          <w:u w:color="000000"/>
        </w:rPr>
        <w:t xml:space="preserve">muni </w:t>
      </w:r>
      <w:r w:rsidRPr="006A6089">
        <w:rPr>
          <w:rFonts w:ascii="Bookman Old Style" w:eastAsia="Arial Unicode MS" w:hAnsi="Bookman Old Style"/>
          <w:color w:val="000000"/>
          <w:sz w:val="22"/>
          <w:szCs w:val="22"/>
          <w:u w:color="000000"/>
        </w:rPr>
        <w:t>3 miliardi e 832 milioni in termini di spazi finanziari.</w:t>
      </w:r>
    </w:p>
    <w:p w:rsidR="001741E4" w:rsidRDefault="0030460B" w:rsidP="006A6089">
      <w:pPr>
        <w:spacing w:before="60" w:after="60" w:line="420" w:lineRule="atLeast"/>
        <w:jc w:val="both"/>
        <w:outlineLvl w:val="0"/>
        <w:rPr>
          <w:rFonts w:ascii="Bookman Old Style" w:eastAsia="Arial Unicode MS" w:hAnsi="Bookman Old Style"/>
          <w:color w:val="000000"/>
          <w:sz w:val="22"/>
          <w:szCs w:val="22"/>
          <w:u w:color="000000"/>
        </w:rPr>
      </w:pPr>
      <w:r w:rsidRPr="006A6089">
        <w:rPr>
          <w:rFonts w:ascii="Bookman Old Style" w:eastAsia="Arial Unicode MS" w:hAnsi="Bookman Old Style"/>
          <w:color w:val="000000"/>
          <w:sz w:val="22"/>
          <w:szCs w:val="22"/>
          <w:u w:color="000000"/>
        </w:rPr>
        <w:t>Questi dati c</w:t>
      </w:r>
      <w:r w:rsidR="001741E4" w:rsidRPr="006A6089">
        <w:rPr>
          <w:rFonts w:ascii="Bookman Old Style" w:eastAsia="Arial Unicode MS" w:hAnsi="Bookman Old Style"/>
          <w:color w:val="000000"/>
          <w:sz w:val="22"/>
          <w:szCs w:val="22"/>
          <w:u w:color="000000"/>
        </w:rPr>
        <w:t>onfermano quanto sostiene l’Associazione</w:t>
      </w:r>
      <w:r w:rsidRPr="006A6089">
        <w:rPr>
          <w:rFonts w:ascii="Bookman Old Style" w:eastAsia="Arial Unicode MS" w:hAnsi="Bookman Old Style"/>
          <w:color w:val="000000"/>
          <w:sz w:val="22"/>
          <w:szCs w:val="22"/>
          <w:u w:color="000000"/>
        </w:rPr>
        <w:t xml:space="preserve"> ormai da anni: il contributo richiesto ai </w:t>
      </w:r>
      <w:r w:rsidR="005B2D88">
        <w:rPr>
          <w:rFonts w:ascii="Bookman Old Style" w:eastAsia="Arial Unicode MS" w:hAnsi="Bookman Old Style"/>
          <w:color w:val="000000"/>
          <w:sz w:val="22"/>
          <w:szCs w:val="22"/>
          <w:u w:color="000000"/>
        </w:rPr>
        <w:t>C</w:t>
      </w:r>
      <w:r w:rsidRPr="006A6089">
        <w:rPr>
          <w:rFonts w:ascii="Bookman Old Style" w:eastAsia="Arial Unicode MS" w:hAnsi="Bookman Old Style"/>
          <w:color w:val="000000"/>
          <w:sz w:val="22"/>
          <w:szCs w:val="22"/>
          <w:u w:color="000000"/>
        </w:rPr>
        <w:t xml:space="preserve">omuni per il risanamento dei conti pubblici non è più </w:t>
      </w:r>
      <w:r w:rsidR="009A618F">
        <w:rPr>
          <w:rFonts w:ascii="Bookman Old Style" w:eastAsia="Arial Unicode MS" w:hAnsi="Bookman Old Style"/>
          <w:color w:val="000000"/>
          <w:sz w:val="22"/>
          <w:szCs w:val="22"/>
          <w:u w:color="000000"/>
        </w:rPr>
        <w:t>sostenibile</w:t>
      </w:r>
      <w:r w:rsidRPr="006A6089">
        <w:rPr>
          <w:rFonts w:ascii="Bookman Old Style" w:eastAsia="Arial Unicode MS" w:hAnsi="Bookman Old Style"/>
          <w:color w:val="000000"/>
          <w:sz w:val="22"/>
          <w:szCs w:val="22"/>
          <w:u w:color="000000"/>
        </w:rPr>
        <w:t xml:space="preserve">. </w:t>
      </w:r>
      <w:r w:rsidR="001741E4" w:rsidRPr="006A6089">
        <w:rPr>
          <w:rFonts w:ascii="Bookman Old Style" w:eastAsia="Arial Unicode MS" w:hAnsi="Bookman Old Style"/>
          <w:color w:val="000000"/>
          <w:sz w:val="22"/>
          <w:szCs w:val="22"/>
          <w:u w:color="000000"/>
        </w:rPr>
        <w:t>Tra gli effetti provocati dalla manovra</w:t>
      </w:r>
      <w:r w:rsidRPr="006A6089">
        <w:rPr>
          <w:rFonts w:ascii="Bookman Old Style" w:eastAsia="Arial Unicode MS" w:hAnsi="Bookman Old Style"/>
          <w:color w:val="000000"/>
          <w:sz w:val="22"/>
          <w:szCs w:val="22"/>
          <w:u w:color="000000"/>
        </w:rPr>
        <w:t xml:space="preserve"> a carico del comparto vi è la diminuzione degli investimenti. La tipologia di opere di interesse dei Comuni riguarda settori importantissimi per la qualità della vita e per la sicurezza delle persone. In particolare i Comuni realizzano </w:t>
      </w:r>
      <w:r w:rsidR="009A618F">
        <w:rPr>
          <w:rFonts w:ascii="Bookman Old Style" w:eastAsia="Arial Unicode MS" w:hAnsi="Bookman Old Style"/>
          <w:color w:val="000000"/>
          <w:sz w:val="22"/>
          <w:szCs w:val="22"/>
          <w:u w:color="000000"/>
        </w:rPr>
        <w:t xml:space="preserve">e sono responsabili di </w:t>
      </w:r>
      <w:r w:rsidRPr="006A6089">
        <w:rPr>
          <w:rFonts w:ascii="Bookman Old Style" w:eastAsia="Arial Unicode MS" w:hAnsi="Bookman Old Style"/>
          <w:color w:val="000000"/>
          <w:sz w:val="22"/>
          <w:szCs w:val="22"/>
          <w:u w:color="000000"/>
        </w:rPr>
        <w:t xml:space="preserve">opere di tutela del territorio (rischio </w:t>
      </w:r>
      <w:r w:rsidRPr="006A6089">
        <w:rPr>
          <w:rFonts w:ascii="Bookman Old Style" w:eastAsia="Arial Unicode MS" w:hAnsi="Bookman Old Style"/>
          <w:color w:val="000000"/>
          <w:sz w:val="22"/>
          <w:szCs w:val="22"/>
          <w:u w:color="000000"/>
        </w:rPr>
        <w:lastRenderedPageBreak/>
        <w:t xml:space="preserve">idrogeologico e infrastrutture di rete), infrastrutture per la viabilità e i trasporti, opere a servizio della scuola e </w:t>
      </w:r>
      <w:r w:rsidR="00027D4D">
        <w:rPr>
          <w:rFonts w:ascii="Bookman Old Style" w:eastAsia="Arial Unicode MS" w:hAnsi="Bookman Old Style"/>
          <w:color w:val="000000"/>
          <w:sz w:val="22"/>
          <w:szCs w:val="22"/>
          <w:u w:color="000000"/>
        </w:rPr>
        <w:t xml:space="preserve">interventi </w:t>
      </w:r>
      <w:r w:rsidRPr="006A6089">
        <w:rPr>
          <w:rFonts w:ascii="Bookman Old Style" w:eastAsia="Arial Unicode MS" w:hAnsi="Bookman Old Style"/>
          <w:color w:val="000000"/>
          <w:sz w:val="22"/>
          <w:szCs w:val="22"/>
          <w:u w:color="000000"/>
        </w:rPr>
        <w:t>per la pubblica sicurezza e la giustizia. Il prezzo sociale delle modalità di declinazione di queste manovre finanziarie è ormai insostenibile per la collettività e per le imprese</w:t>
      </w:r>
      <w:r w:rsidR="001741E4" w:rsidRPr="006A6089">
        <w:rPr>
          <w:rFonts w:ascii="Bookman Old Style" w:eastAsia="Arial Unicode MS" w:hAnsi="Bookman Old Style"/>
          <w:color w:val="000000"/>
          <w:sz w:val="22"/>
          <w:szCs w:val="22"/>
          <w:u w:color="000000"/>
        </w:rPr>
        <w:t>.</w:t>
      </w:r>
    </w:p>
    <w:p w:rsidR="00B87946" w:rsidRDefault="00B87946" w:rsidP="00B87946">
      <w:pPr>
        <w:spacing w:after="120" w:line="264" w:lineRule="auto"/>
        <w:jc w:val="both"/>
        <w:rPr>
          <w:rFonts w:ascii="Book Antiqua" w:hAnsi="Book Antiqua"/>
          <w:b/>
        </w:rPr>
      </w:pPr>
    </w:p>
    <w:p w:rsidR="00B87946" w:rsidRPr="00CA02CE" w:rsidRDefault="00B87946" w:rsidP="00B87946">
      <w:pPr>
        <w:spacing w:before="60" w:after="60" w:line="420" w:lineRule="atLeast"/>
        <w:jc w:val="both"/>
        <w:rPr>
          <w:rFonts w:ascii="Book Antiqua" w:hAnsi="Book Antiqua"/>
          <w:b/>
        </w:rPr>
      </w:pPr>
      <w:r w:rsidRPr="00B87946">
        <w:rPr>
          <w:rFonts w:ascii="Bookman Old Style" w:hAnsi="Bookman Old Style"/>
          <w:b/>
          <w:sz w:val="22"/>
          <w:szCs w:val="22"/>
        </w:rPr>
        <w:t>Il perimetro delle risorse dei Comuni nel periodo 2010-2014</w:t>
      </w:r>
    </w:p>
    <w:p w:rsidR="00B87946" w:rsidRDefault="00DF2A77" w:rsidP="00B87946">
      <w:pPr>
        <w:spacing w:before="60" w:after="60" w:line="420" w:lineRule="atLeast"/>
        <w:jc w:val="both"/>
        <w:rPr>
          <w:rFonts w:ascii="Bookman Old Style" w:hAnsi="Bookman Old Style" w:cs="Times New Roman"/>
          <w:sz w:val="22"/>
          <w:szCs w:val="22"/>
        </w:rPr>
      </w:pPr>
      <w:r>
        <w:rPr>
          <w:rFonts w:ascii="Bookman Old Style" w:hAnsi="Bookman Old Style" w:cs="Times New Roman"/>
          <w:sz w:val="22"/>
          <w:szCs w:val="22"/>
        </w:rPr>
        <w:t>Di seguito si</w:t>
      </w:r>
      <w:r w:rsidR="00B87946" w:rsidRPr="00B87946">
        <w:rPr>
          <w:rFonts w:ascii="Bookman Old Style" w:hAnsi="Bookman Old Style" w:cs="Times New Roman"/>
          <w:sz w:val="22"/>
          <w:szCs w:val="22"/>
        </w:rPr>
        <w:t xml:space="preserve"> analizza l’andamento delle risorse dei Comuni nel periodo 2010-2014 a perimetro costante, ovvero osservando il complesso dei trasferimenti erariali e delle principali entrate tributarie, costitute da ICI, IMU, Addizionale IRPEF e </w:t>
      </w:r>
      <w:r w:rsidR="00B87946" w:rsidRPr="00B87946">
        <w:rPr>
          <w:rFonts w:ascii="Bookman Old Style" w:hAnsi="Bookman Old Style" w:cs="Times New Roman"/>
          <w:sz w:val="22"/>
          <w:szCs w:val="22"/>
        </w:rPr>
        <w:br/>
        <w:t>Addizionale sull’energia elettrica.</w:t>
      </w:r>
    </w:p>
    <w:p w:rsidR="00B87946" w:rsidRPr="00B87946" w:rsidRDefault="004A2522" w:rsidP="00B87946">
      <w:pPr>
        <w:spacing w:before="60" w:after="60" w:line="420" w:lineRule="atLeast"/>
        <w:jc w:val="both"/>
        <w:rPr>
          <w:rFonts w:ascii="Bookman Old Style" w:hAnsi="Bookman Old Style" w:cs="Times New Roman"/>
          <w:sz w:val="22"/>
          <w:szCs w:val="22"/>
        </w:rPr>
      </w:pPr>
      <w:r w:rsidRPr="005C5501">
        <w:rPr>
          <w:rFonts w:ascii="Bookman Old Style" w:hAnsi="Bookman Old Style" w:cs="Times New Roman"/>
          <w:sz w:val="22"/>
          <w:szCs w:val="22"/>
        </w:rPr>
        <w:t xml:space="preserve">Il perimetro corrisponde alle entrate </w:t>
      </w:r>
      <w:r w:rsidR="000725EC" w:rsidRPr="005C5501">
        <w:rPr>
          <w:rFonts w:ascii="Bookman Old Style" w:hAnsi="Bookman Old Style" w:cs="Times New Roman"/>
          <w:sz w:val="22"/>
          <w:szCs w:val="22"/>
        </w:rPr>
        <w:t xml:space="preserve">che i Comuni hanno effettivamente incassato ed impiegato </w:t>
      </w:r>
      <w:r w:rsidRPr="005C5501">
        <w:rPr>
          <w:rFonts w:ascii="Bookman Old Style" w:hAnsi="Bookman Old Style" w:cs="Times New Roman"/>
          <w:sz w:val="22"/>
          <w:szCs w:val="22"/>
        </w:rPr>
        <w:t xml:space="preserve">per realizzare servizi ed investimenti, facendo sempre attenzione a tenere </w:t>
      </w:r>
      <w:r w:rsidR="000725EC" w:rsidRPr="005C5501">
        <w:rPr>
          <w:rFonts w:ascii="Bookman Old Style" w:hAnsi="Bookman Old Style" w:cs="Times New Roman"/>
          <w:sz w:val="22"/>
          <w:szCs w:val="22"/>
        </w:rPr>
        <w:t xml:space="preserve">un livello sostenibile di </w:t>
      </w:r>
      <w:r w:rsidRPr="005C5501">
        <w:rPr>
          <w:rFonts w:ascii="Bookman Old Style" w:hAnsi="Bookman Old Style" w:cs="Times New Roman"/>
          <w:sz w:val="22"/>
          <w:szCs w:val="22"/>
        </w:rPr>
        <w:t>pressione fiscale.</w:t>
      </w:r>
      <w:r>
        <w:rPr>
          <w:rFonts w:ascii="Bookman Old Style" w:hAnsi="Bookman Old Style" w:cs="Times New Roman"/>
          <w:sz w:val="22"/>
          <w:szCs w:val="22"/>
        </w:rPr>
        <w:t xml:space="preserve"> </w:t>
      </w:r>
      <w:r w:rsidR="00B87946" w:rsidRPr="00B87946">
        <w:rPr>
          <w:rFonts w:ascii="Bookman Old Style" w:hAnsi="Bookman Old Style" w:cs="Times New Roman"/>
          <w:sz w:val="22"/>
          <w:szCs w:val="22"/>
        </w:rPr>
        <w:t>Come mostrato chiaram</w:t>
      </w:r>
      <w:r>
        <w:rPr>
          <w:rFonts w:ascii="Bookman Old Style" w:hAnsi="Bookman Old Style" w:cs="Times New Roman"/>
          <w:sz w:val="22"/>
          <w:szCs w:val="22"/>
        </w:rPr>
        <w:t>ente da</w:t>
      </w:r>
      <w:r w:rsidR="00F53B2A">
        <w:rPr>
          <w:rFonts w:ascii="Bookman Old Style" w:hAnsi="Bookman Old Style" w:cs="Times New Roman"/>
          <w:sz w:val="22"/>
          <w:szCs w:val="22"/>
        </w:rPr>
        <w:t>l</w:t>
      </w:r>
      <w:r>
        <w:rPr>
          <w:rFonts w:ascii="Bookman Old Style" w:hAnsi="Bookman Old Style" w:cs="Times New Roman"/>
          <w:sz w:val="22"/>
          <w:szCs w:val="22"/>
        </w:rPr>
        <w:t xml:space="preserve"> grafico seguente</w:t>
      </w:r>
      <w:r w:rsidR="00B87946" w:rsidRPr="00B87946">
        <w:rPr>
          <w:rFonts w:ascii="Bookman Old Style" w:hAnsi="Bookman Old Style" w:cs="Times New Roman"/>
          <w:sz w:val="22"/>
          <w:szCs w:val="22"/>
        </w:rPr>
        <w:t>, negli anni dell’attuazione del federalismo fiscale il perimetro delle risorse dei Comuni si è ridotto considerevolmente</w:t>
      </w:r>
      <w:r w:rsidR="00F53B2A">
        <w:rPr>
          <w:rFonts w:ascii="Bookman Old Style" w:hAnsi="Bookman Old Style" w:cs="Times New Roman"/>
          <w:sz w:val="22"/>
          <w:szCs w:val="22"/>
        </w:rPr>
        <w:t>, per un valore non inferiore a</w:t>
      </w:r>
      <w:r w:rsidR="00B87946" w:rsidRPr="00B87946">
        <w:rPr>
          <w:rFonts w:ascii="Bookman Old Style" w:hAnsi="Bookman Old Style" w:cs="Times New Roman"/>
          <w:sz w:val="22"/>
          <w:szCs w:val="22"/>
        </w:rPr>
        <w:t xml:space="preserve"> 1,7 miliardi di euro, passando dai 29,4 miliardi di euro del 2010 ai 27,7 miliardi di euro del 2014. </w:t>
      </w:r>
    </w:p>
    <w:p w:rsidR="00B87946" w:rsidRPr="00B87946" w:rsidRDefault="00B87946" w:rsidP="00B87946">
      <w:pPr>
        <w:spacing w:before="60" w:after="60" w:line="420" w:lineRule="atLeast"/>
        <w:jc w:val="both"/>
        <w:rPr>
          <w:rFonts w:ascii="Bookman Old Style" w:hAnsi="Bookman Old Style" w:cs="Times New Roman"/>
          <w:sz w:val="22"/>
          <w:szCs w:val="22"/>
        </w:rPr>
      </w:pPr>
      <w:r w:rsidRPr="00B87946">
        <w:rPr>
          <w:rFonts w:ascii="Bookman Old Style" w:hAnsi="Bookman Old Style" w:cs="Times New Roman"/>
          <w:sz w:val="22"/>
          <w:szCs w:val="22"/>
        </w:rPr>
        <w:t xml:space="preserve">Come dettagliato di seguito, la principale causa della riduzione di risorse è imputabile all’entità della decurtazione delle assegnazioni statali e alle riforme dell’ imposizione immobiliare che nel periodo analizzato non hanno garantito invarianza di risorse per i Comuni. </w:t>
      </w:r>
    </w:p>
    <w:p w:rsidR="00B87946" w:rsidRPr="00B87946" w:rsidRDefault="00B87946" w:rsidP="00B87946">
      <w:pPr>
        <w:spacing w:before="60" w:after="60" w:line="420" w:lineRule="atLeast"/>
        <w:jc w:val="both"/>
        <w:rPr>
          <w:rFonts w:ascii="Bookman Old Style" w:hAnsi="Bookman Old Style" w:cs="Times New Roman"/>
          <w:sz w:val="22"/>
          <w:szCs w:val="22"/>
        </w:rPr>
      </w:pPr>
      <w:r w:rsidRPr="00B87946">
        <w:rPr>
          <w:rFonts w:ascii="Bookman Old Style" w:hAnsi="Bookman Old Style" w:cs="Times New Roman"/>
          <w:sz w:val="22"/>
          <w:szCs w:val="22"/>
        </w:rPr>
        <w:t>Nel 2011 si è data realizzazione alla norma contenuta nella Legge delega di attuazione del federalismo fiscale (L. 42/2009) che stabiliva, al fine di avviare un percorso di restituzione di piena autonomia finanziaria a Comuni e Province, la soppressione dei trasferimenti erariali e regionali diretti al finanziamento delle spese di qualsiasi natura.  La quasi totalità dei trasferimenti erariali nel 2011 è stata sostituita dal Fondo sperimentale di riequilibrio. Dal 2010 al 2011 le assegnazioni statali diminuiscono di circa 2 miliardi di euro a causa dei tagli imposti dal Governo mentre restano praticamente costanti le entrate derivanti dai principali cespiti tributari.</w:t>
      </w:r>
    </w:p>
    <w:p w:rsidR="00B87946" w:rsidRPr="00B87946" w:rsidRDefault="00B87946" w:rsidP="00B87946">
      <w:pPr>
        <w:spacing w:before="60" w:after="60" w:line="420" w:lineRule="atLeast"/>
        <w:jc w:val="both"/>
        <w:rPr>
          <w:rFonts w:ascii="Bookman Old Style" w:hAnsi="Bookman Old Style" w:cs="Times New Roman"/>
          <w:sz w:val="22"/>
          <w:szCs w:val="22"/>
        </w:rPr>
      </w:pPr>
      <w:r w:rsidRPr="00B87946">
        <w:rPr>
          <w:rFonts w:ascii="Bookman Old Style" w:hAnsi="Bookman Old Style" w:cs="Times New Roman"/>
          <w:sz w:val="22"/>
          <w:szCs w:val="22"/>
        </w:rPr>
        <w:t xml:space="preserve">Nel 2012 con l’anticipazione dell’IMU sperimentale il gettito tributario sembra aumentare, ma per effetto della misura compensativa del gettito IMU comunale ad aliquota base, finalizzata a rendere di fatto le risorse disponibili per ciascun Comune pari al gettito della vecchia ICI, il gettito resta costante. Il monte delle risorse osservato aumenta per effetto dello sforzo fiscale IMU richiesto ai cittadini, che è servito ai Comuni </w:t>
      </w:r>
      <w:r w:rsidRPr="00B87946">
        <w:rPr>
          <w:rFonts w:ascii="Bookman Old Style" w:hAnsi="Bookman Old Style" w:cs="Times New Roman"/>
          <w:sz w:val="22"/>
          <w:szCs w:val="22"/>
        </w:rPr>
        <w:lastRenderedPageBreak/>
        <w:t xml:space="preserve">per compensare i tagli delle assegnazioni statali e per rispettare i vincoli del patto di stabilità interno, che in questo anno subisce un inasprimento ulteriore di poco inferiore ai 2 miliardi di euro. </w:t>
      </w:r>
    </w:p>
    <w:p w:rsidR="00B87946" w:rsidRPr="00B87946" w:rsidRDefault="00B87946" w:rsidP="00B87946">
      <w:pPr>
        <w:spacing w:before="60" w:after="60" w:line="420" w:lineRule="atLeast"/>
        <w:jc w:val="both"/>
        <w:rPr>
          <w:rFonts w:ascii="Bookman Old Style" w:hAnsi="Bookman Old Style" w:cs="Times New Roman"/>
          <w:sz w:val="22"/>
          <w:szCs w:val="22"/>
        </w:rPr>
      </w:pPr>
      <w:r w:rsidRPr="00B87946">
        <w:rPr>
          <w:rFonts w:ascii="Bookman Old Style" w:hAnsi="Bookman Old Style" w:cs="Times New Roman"/>
          <w:sz w:val="22"/>
          <w:szCs w:val="22"/>
        </w:rPr>
        <w:t>Il 2013 è caratterizzato da una diminuzione di risorse complessive rispetto al 2012 di 1,2 miliardi di euro, imputabile principalmente ai tagli della c.d. spending review per un valore di 2,25 miliardi di euro. Inoltre 374 Comuni, corrispondenti al 20 per cento della popolazione, nel 2013 hanno già esaurito i margini di manovra sull’IMU ordinaria e presentano aliquote dell’Addizionale IRPEF al livello massimo consentito dalla normativa vigente; per questi Enti qualunque ulteriore sforzo finanziario richiesto risulta inattuabile poiché il bilancio non presenta più margini di manovrabilità.</w:t>
      </w:r>
    </w:p>
    <w:p w:rsidR="000725EC" w:rsidRDefault="00B87946" w:rsidP="000725EC">
      <w:pPr>
        <w:spacing w:before="60" w:after="60" w:line="420" w:lineRule="atLeast"/>
        <w:jc w:val="both"/>
        <w:rPr>
          <w:rFonts w:ascii="Bookman Old Style" w:hAnsi="Bookman Old Style" w:cs="Times New Roman"/>
          <w:sz w:val="22"/>
          <w:szCs w:val="22"/>
        </w:rPr>
      </w:pPr>
      <w:r w:rsidRPr="00B87946">
        <w:rPr>
          <w:rFonts w:ascii="Bookman Old Style" w:hAnsi="Bookman Old Style" w:cs="Times New Roman"/>
          <w:sz w:val="22"/>
          <w:szCs w:val="22"/>
        </w:rPr>
        <w:t>Nel 2014, anno dell’abolizione dell’IMU sulle abitazioni principali e dell’introduzione della TASI, il comparto è chiamato a esercitare la pressione fiscale per ricostituire il gettito IMU oramai soppresso e garantire le relative detrazioni equivalenti. Ulteriori 250 milioni di speding review vengono imposti al comparto.</w:t>
      </w:r>
    </w:p>
    <w:p w:rsidR="000725EC" w:rsidRDefault="000725EC" w:rsidP="000725EC">
      <w:pPr>
        <w:spacing w:before="60" w:after="60" w:line="420" w:lineRule="atLeast"/>
        <w:jc w:val="both"/>
        <w:rPr>
          <w:rFonts w:ascii="Bookman Old Style" w:hAnsi="Bookman Old Style" w:cs="Times New Roman"/>
          <w:sz w:val="22"/>
          <w:szCs w:val="22"/>
        </w:rPr>
      </w:pPr>
      <w:r w:rsidRPr="005C5501">
        <w:rPr>
          <w:rFonts w:ascii="Bookman Old Style" w:hAnsi="Bookman Old Style" w:cs="Times New Roman"/>
          <w:sz w:val="22"/>
          <w:szCs w:val="22"/>
        </w:rPr>
        <w:t xml:space="preserve">Negli ultimi 5 anni le risorse destinate ai Comuni hanno subito una riduzione di oltre 7 miliardi di euro. </w:t>
      </w:r>
      <w:r w:rsidR="00E82F9F" w:rsidRPr="005C5501">
        <w:rPr>
          <w:rFonts w:ascii="Bookman Old Style" w:hAnsi="Bookman Old Style" w:cs="Times New Roman"/>
          <w:sz w:val="22"/>
          <w:szCs w:val="22"/>
        </w:rPr>
        <w:t>I Comuni hanno reagito a tale riduzione con la contrazione della spesa, sia corrente sia in conto capitale, e con il ricorso alla leva fiscale per continuare ad erogare i servizi ai cittadini, senza tuttavia riuscire a compensare completamente i tagli subiti.</w:t>
      </w:r>
    </w:p>
    <w:p w:rsidR="000725EC" w:rsidRPr="000725EC" w:rsidRDefault="000725EC" w:rsidP="000725EC">
      <w:pPr>
        <w:spacing w:before="60" w:after="60" w:line="420" w:lineRule="atLeast"/>
        <w:jc w:val="both"/>
        <w:rPr>
          <w:rFonts w:ascii="Bookman Old Style" w:hAnsi="Bookman Old Style" w:cs="Times New Roman"/>
          <w:sz w:val="22"/>
          <w:szCs w:val="22"/>
        </w:rPr>
        <w:sectPr w:rsidR="000725EC" w:rsidRPr="000725EC" w:rsidSect="00A17005">
          <w:footerReference w:type="default" r:id="rId11"/>
          <w:footerReference w:type="first" r:id="rId12"/>
          <w:pgSz w:w="11906" w:h="16838"/>
          <w:pgMar w:top="1417" w:right="1134" w:bottom="1134" w:left="1134" w:header="708" w:footer="708" w:gutter="0"/>
          <w:cols w:space="708"/>
          <w:titlePg/>
          <w:docGrid w:linePitch="360"/>
        </w:sectPr>
      </w:pPr>
    </w:p>
    <w:p w:rsidR="00B87946" w:rsidRDefault="00B87946" w:rsidP="00B87946"/>
    <w:p w:rsidR="00B87946" w:rsidRDefault="00B87946" w:rsidP="00B87946"/>
    <w:p w:rsidR="00B87946" w:rsidRPr="00B87946" w:rsidRDefault="00B87946" w:rsidP="00B87946">
      <w:pPr>
        <w:jc w:val="center"/>
        <w:rPr>
          <w:rFonts w:ascii="Book Antiqua" w:hAnsi="Book Antiqua"/>
          <w:b/>
          <w:sz w:val="32"/>
        </w:rPr>
      </w:pPr>
      <w:r w:rsidRPr="00B87946">
        <w:rPr>
          <w:rFonts w:ascii="Book Antiqua" w:hAnsi="Book Antiqua"/>
          <w:b/>
          <w:sz w:val="32"/>
        </w:rPr>
        <w:t>Il Perimetro* delle risorse dei Comuni nel periodo 2010-2014</w:t>
      </w:r>
    </w:p>
    <w:p w:rsidR="00B87946" w:rsidRPr="00B87946" w:rsidRDefault="00B87946" w:rsidP="00B87946">
      <w:pPr>
        <w:rPr>
          <w:rFonts w:ascii="Book Antiqua" w:hAnsi="Book Antiqua"/>
        </w:rPr>
      </w:pPr>
      <w:r w:rsidRPr="00B87946">
        <w:rPr>
          <w:rFonts w:ascii="Book Antiqua" w:hAnsi="Book Antiqua"/>
        </w:rPr>
        <w:tab/>
      </w:r>
      <w:r w:rsidRPr="00B87946">
        <w:rPr>
          <w:rFonts w:ascii="Book Antiqua" w:hAnsi="Book Antiqua"/>
        </w:rPr>
        <w:tab/>
      </w:r>
    </w:p>
    <w:p w:rsidR="00B87946" w:rsidRPr="00B87946" w:rsidRDefault="00B87946" w:rsidP="00B87946">
      <w:pPr>
        <w:rPr>
          <w:rFonts w:ascii="Book Antiqua" w:hAnsi="Book Antiqua"/>
        </w:rPr>
      </w:pPr>
      <w:r w:rsidRPr="00B87946">
        <w:rPr>
          <w:rFonts w:ascii="Book Antiqua" w:hAnsi="Book Antiqua"/>
          <w:noProof/>
          <w:lang w:eastAsia="it-IT"/>
        </w:rPr>
        <mc:AlternateContent>
          <mc:Choice Requires="wps">
            <w:drawing>
              <wp:anchor distT="0" distB="0" distL="114300" distR="114300" simplePos="0" relativeHeight="251662336" behindDoc="0" locked="0" layoutInCell="1" allowOverlap="1" wp14:anchorId="62D1F268" wp14:editId="2B4D762B">
                <wp:simplePos x="0" y="0"/>
                <wp:positionH relativeFrom="column">
                  <wp:posOffset>280035</wp:posOffset>
                </wp:positionH>
                <wp:positionV relativeFrom="paragraph">
                  <wp:posOffset>67945</wp:posOffset>
                </wp:positionV>
                <wp:extent cx="1655445" cy="2627630"/>
                <wp:effectExtent l="57150" t="38100" r="78105" b="96520"/>
                <wp:wrapNone/>
                <wp:docPr id="20" name="Callout con freccia in giù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2627630"/>
                        </a:xfrm>
                        <a:prstGeom prst="downArrowCallout">
                          <a:avLst>
                            <a:gd name="adj1" fmla="val 12947"/>
                            <a:gd name="adj2" fmla="val 23335"/>
                            <a:gd name="adj3" fmla="val 6111"/>
                            <a:gd name="adj4" fmla="val 89130"/>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29,4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Il perimetro iniziale del percorso del federalismo fiscale vedeva i Comuni presentare risorse per 29,4 miliardi di cui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16,1 miliardi da trasferimenti</w:t>
                            </w:r>
                          </w:p>
                        </w:txbxContent>
                      </wps:txbx>
                      <wps:bodyPr anchor="t"/>
                    </wps:wsp>
                  </a:graphicData>
                </a:graphic>
              </wp:anchor>
            </w:drawing>
          </mc:Choice>
          <mc:Fallback>
            <w:pict>
              <v:shapetype w14:anchorId="62D1F26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con freccia in giù 19" o:spid="_x0000_s1026" type="#_x0000_t80" style="position:absolute;margin-left:22.05pt;margin-top:5.35pt;width:130.35pt;height:20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Q0yQIAAN8FAAAOAAAAZHJzL2Uyb0RvYy54bWysVMuOmzAU3VfqP1jedwgQMhANGUWZpJs+&#10;Rp1WXTu2AbfGRrYTMp/WdX+s14ZETDOrqomEbN/XOfd1d39qJTpyY4VWJY5vZhhxRTUTqi7xt6+7&#10;dzlG1hHFiNSKl/iZW3y/evvmru+WPNGNlowbBE6UXfZdiRvnumUUWdrwltgb3XEFwkqblji4mjpi&#10;hvTgvZVRMpstol4b1hlNubXw+jAI8Sr4rypO3eeqstwhWWLA5sLXhO/ef6PVHVnWhnSNoCMM8g8o&#10;WiIUBL24eiCOoIMRV65aQY22unI3VLeRripBeeAAbOLZX2yeGtLxwAWSY7tLmuz/c0s/HR8NEqzE&#10;CaRHkRZqtCFS6oNDVCtUGU6pIEgoVIvfv1Bc+JT1nV2C5VP3aDxp233Q9KdFSm8aomq+Nkb3DScM&#10;gMZeP3ph4C8WTNG+/6gZBCQHp0P2TpVpvUPICzqFIj1fisRPgAge40WWzecZRhRkySK5XaShjBFZ&#10;ns07Y917rlvkDyVmulcB0kgshCLHD9aFirGRNmE/YoyqVkIDHIlEcVLMb8cGmegkU50kTdPsWied&#10;6iziOCQBmmPiZj5VyYv4QmIEBnTONMa+YjshJTLafReuCa3hsxuE9szFok5D0mfh2Zp6v5EGAZkS&#10;b/NtvluHYgAQO5gN2ot5URTXFpt0k253r1rEM/+7Nlnn63w7DQIs6jM4CT0E3VHibD6YI0uJ5NB6&#10;Q4+E4QkkPTipUF/iIkuyIYyW4iJ7QSzZJbsiH2HaqVorHOwWKdoS50PEMO2+MbeKhbMjQg5nQCqV&#10;D8zD1hgTCmPAzVPDerSXB/OFANgAHiMmfGvBCoI8wAVWyoXWyxK9kqZ85v+BF5FdQ4YKpbe+DH5a&#10;YKKG0oXzBUO4TeCFqfKDNAykO+1PYO2na6/ZM8wXUbTRgMwFr14AWyR4GTeeX1PTO5yne3n1BwAA&#10;//8DAFBLAwQUAAYACAAAACEAIazIFt0AAAAJAQAADwAAAGRycy9kb3ducmV2LnhtbEyPwU7DMBBE&#10;70j8g7VI3KjdECCEOBVC6gW4NHDh5sbbOCJeR7HTBr6e5QTHnTeanak2ix/EEafYB9KwXikQSG2w&#10;PXUa3t+2VwWImAxZMwRCDV8YYVOfn1WmtOFEOzw2qRMcQrE0GlxKYyllbB16E1dhRGJ2CJM3ic+p&#10;k3YyJw73g8yUupXe9MQfnBnxyWH72cxew+zun+dm6z+K6eXQfGdj9K541fryYnl8AJFwSX9m+K3P&#10;1aHmTvswk41i0JDna3ayru5AML9WOU/ZM8jyG5B1Jf8vqH8AAAD//wMAUEsBAi0AFAAGAAgAAAAh&#10;ALaDOJL+AAAA4QEAABMAAAAAAAAAAAAAAAAAAAAAAFtDb250ZW50X1R5cGVzXS54bWxQSwECLQAU&#10;AAYACAAAACEAOP0h/9YAAACUAQAACwAAAAAAAAAAAAAAAAAvAQAAX3JlbHMvLnJlbHNQSwECLQAU&#10;AAYACAAAACEAWgM0NMkCAADfBQAADgAAAAAAAAAAAAAAAAAuAgAAZHJzL2Uyb0RvYy54bWxQSwEC&#10;LQAUAAYACAAAACEAIazIFt0AAAAJAQAADwAAAAAAAAAAAAAAAAAjBQAAZHJzL2Rvd25yZXYueG1s&#10;UEsFBgAAAAAEAAQA8wAAAC0GAAAAAA==&#10;" adj="19252,5760,20768,9402" fillcolor="#e8e8fa" strokecolor="#2f2f98">
                <v:fill color2="#a8a8ea" rotate="t" colors="0 #e8e8fa;42598f #c3c3ef;1 #a8a8ea" focus="100%" type="gradient"/>
                <v:shadow on="t" opacity="24903f" origin=",.5" offset="0,.55556mm"/>
                <v:textbo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29,4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Il perimetro iniziale del percorso del federalismo fiscale vedeva i Comuni presentare risorse per 29,4 miliardi di cui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16,1 miliardi da trasferimenti</w:t>
                      </w:r>
                    </w:p>
                  </w:txbxContent>
                </v:textbox>
              </v:shape>
            </w:pict>
          </mc:Fallback>
        </mc:AlternateContent>
      </w:r>
      <w:r w:rsidRPr="00B87946">
        <w:rPr>
          <w:rFonts w:ascii="Book Antiqua" w:hAnsi="Book Antiqua"/>
          <w:noProof/>
          <w:lang w:eastAsia="it-IT"/>
        </w:rPr>
        <mc:AlternateContent>
          <mc:Choice Requires="wps">
            <w:drawing>
              <wp:anchor distT="0" distB="0" distL="114300" distR="114300" simplePos="0" relativeHeight="251665408" behindDoc="0" locked="0" layoutInCell="1" allowOverlap="1" wp14:anchorId="55BB2929" wp14:editId="0826E60F">
                <wp:simplePos x="0" y="0"/>
                <wp:positionH relativeFrom="column">
                  <wp:posOffset>2060575</wp:posOffset>
                </wp:positionH>
                <wp:positionV relativeFrom="paragraph">
                  <wp:posOffset>71120</wp:posOffset>
                </wp:positionV>
                <wp:extent cx="1655445" cy="2627630"/>
                <wp:effectExtent l="57150" t="38100" r="78105" b="96520"/>
                <wp:wrapNone/>
                <wp:docPr id="26" name="Callout con freccia in giù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2627630"/>
                        </a:xfrm>
                        <a:prstGeom prst="downArrowCallout">
                          <a:avLst>
                            <a:gd name="adj1" fmla="val 12947"/>
                            <a:gd name="adj2" fmla="val 23335"/>
                            <a:gd name="adj3" fmla="val 6111"/>
                            <a:gd name="adj4" fmla="val 89130"/>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27,5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fiscalizzazione dei trasferimenti per 11,3 miliardi attraverso F.S.R e Compartecipazione IVA</w:t>
                            </w:r>
                          </w:p>
                        </w:txbxContent>
                      </wps:txbx>
                      <wps:bodyPr anchor="t"/>
                    </wps:wsp>
                  </a:graphicData>
                </a:graphic>
              </wp:anchor>
            </w:drawing>
          </mc:Choice>
          <mc:Fallback>
            <w:pict>
              <v:shape w14:anchorId="55BB2929" id="Callout con freccia in giù 25" o:spid="_x0000_s1027" type="#_x0000_t80" style="position:absolute;margin-left:162.25pt;margin-top:5.6pt;width:130.35pt;height:20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GgzwIAAOYFAAAOAAAAZHJzL2Uyb0RvYy54bWysVMlu2zAQvRfoPxC8N7LkJbIROTAcu5cu&#10;QdOiZ5qkLLYUKZC05Xxaz/2xDkeyITc5FbUBgcvM8L03y939qdbkKJ1X1hQ0vRlRIg23Qpl9Qb99&#10;3b7LKfGBGcG0NbKgz9LT++XbN3dts5CZrawW0hEIYvyibQpahdAsksTzStbM39hGGrgsratZgK3b&#10;J8KxFqLXOslGo1nSWicaZ7n0Hk4fuku6xPhlKXn4XJZeBqILCtgCfh1+d/GbLO/YYu9YUynew2D/&#10;gKJmysCjl1APLDBycOpFqFpxZ70tww23dWLLUnGJHIBNOvqLzVPFGolcQBzfXGTy/y8s/3R8dESJ&#10;gmYzSgyrIUdrprU9BMKtIaWTnCtGlCF79fsXyaZRsrbxC/B8ah5dJO2bD5b/9MTYdcXMXq6cs20l&#10;mQCgabRPrhzixoMr2bUfrYAH2SFYVO9UujoGBF3ICZP0fEmSPAEiOExn0+lkMqWEw102y25nY0xj&#10;whZn98b58F7amsRFQYVtDULqieFT7PjBB8yY6Gkz8SOlpKw1FMCRaZJm88ltXyADm2xok43HY1QE&#10;Mj+wGQ9tZmmKIlybTIYm+Ty9kOiBAZ0zjb6uxFZpTZwN31WosDSiunjpz1w8aSyIPsJj7/a7tXYE&#10;yBR0k2/y7QqTAUB859ZZzybz+fylx3q8Hm+2r3qko/h76bLKV/lm+Aiw2J/BaaghqI6CTiedO/Gc&#10;aQml19UImDqGJCM4bUhb0PkUCi5uvdXqcndFLNtm23new7wyq1WA2aJVXdC8exG7PRbmxghcB6Z0&#10;twak2sSXJE6NXlBoA+meKtGSnT64LwzAInhKhIqlBSMIdIANjJQLresUvSJTPop/5MV0U7EuQ+Pb&#10;mIbYLUC3Sx2uLxhwN4CHXRUbqWvIcNqdsJNRzthkOyueoc2Y4ZUFgAGDxwsYJhisH3xxWg33sB6O&#10;5+UfAAAA//8DAFBLAwQUAAYACAAAACEAF33H0N4AAAAKAQAADwAAAGRycy9kb3ducmV2LnhtbEyP&#10;wU7DMAyG70i8Q2QkbixdWVEpTSeEtAtwoXDhljVeU9E4VZJuhafHnNjN1v/p9+d6u7hRHDHEwZOC&#10;9SoDgdR5M1Cv4ON9d1OCiEmT0aMnVPCNEbbN5UWtK+NP9IbHNvWCSyhWWoFNaaqkjJ1Fp+PKT0ic&#10;HXxwOvEaemmCPnG5G2WeZXfS6YH4gtUTPlnsvtrZKZjt/fPc7txnGV4O7U8+RWfLV6Wur5bHBxAJ&#10;l/QPw58+q0PDTns/k4liVHCbbwpGOVjnIBgoyoKHvYJNXmQgm1qev9D8AgAA//8DAFBLAQItABQA&#10;BgAIAAAAIQC2gziS/gAAAOEBAAATAAAAAAAAAAAAAAAAAAAAAABbQ29udGVudF9UeXBlc10ueG1s&#10;UEsBAi0AFAAGAAgAAAAhADj9If/WAAAAlAEAAAsAAAAAAAAAAAAAAAAALwEAAF9yZWxzLy5yZWxz&#10;UEsBAi0AFAAGAAgAAAAhAIISsaDPAgAA5gUAAA4AAAAAAAAAAAAAAAAALgIAAGRycy9lMm9Eb2Mu&#10;eG1sUEsBAi0AFAAGAAgAAAAhABd9x9DeAAAACgEAAA8AAAAAAAAAAAAAAAAAKQUAAGRycy9kb3du&#10;cmV2LnhtbFBLBQYAAAAABAAEAPMAAAA0BgAAAAA=&#10;" adj="19252,5760,20768,9402" fillcolor="#e8e8fa" strokecolor="#2f2f98">
                <v:fill color2="#a8a8ea" rotate="t" colors="0 #e8e8fa;42598f #c3c3ef;1 #a8a8ea" focus="100%" type="gradient"/>
                <v:shadow on="t" opacity="24903f" origin=",.5" offset="0,.55556mm"/>
                <v:textbo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27,5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fiscalizzazione dei trasferimenti per 11,3 miliardi attraverso F.S.R e Compartecipazione IVA</w:t>
                      </w:r>
                    </w:p>
                  </w:txbxContent>
                </v:textbox>
              </v:shape>
            </w:pict>
          </mc:Fallback>
        </mc:AlternateContent>
      </w:r>
      <w:r w:rsidRPr="00B87946">
        <w:rPr>
          <w:rFonts w:ascii="Book Antiqua" w:hAnsi="Book Antiqua"/>
          <w:noProof/>
          <w:lang w:eastAsia="it-IT"/>
        </w:rPr>
        <mc:AlternateContent>
          <mc:Choice Requires="wps">
            <w:drawing>
              <wp:anchor distT="0" distB="0" distL="114300" distR="114300" simplePos="0" relativeHeight="251666432" behindDoc="0" locked="0" layoutInCell="1" allowOverlap="1" wp14:anchorId="575490F5" wp14:editId="6249FA18">
                <wp:simplePos x="0" y="0"/>
                <wp:positionH relativeFrom="column">
                  <wp:posOffset>3862705</wp:posOffset>
                </wp:positionH>
                <wp:positionV relativeFrom="paragraph">
                  <wp:posOffset>71755</wp:posOffset>
                </wp:positionV>
                <wp:extent cx="1655445" cy="2627630"/>
                <wp:effectExtent l="57150" t="38100" r="78105" b="96520"/>
                <wp:wrapNone/>
                <wp:docPr id="27" name="Callout con freccia in giù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2627630"/>
                        </a:xfrm>
                        <a:prstGeom prst="downArrowCallout">
                          <a:avLst>
                            <a:gd name="adj1" fmla="val 12947"/>
                            <a:gd name="adj2" fmla="val 23335"/>
                            <a:gd name="adj3" fmla="val 6111"/>
                            <a:gd name="adj4" fmla="val 89130"/>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Risorse: 29,</w:t>
                            </w:r>
                            <w:r>
                              <w:rPr>
                                <w:rFonts w:asciiTheme="minorHAnsi" w:hAnsi="Calibri" w:cs="Arial"/>
                                <w:b/>
                                <w:bCs/>
                                <w:color w:val="FF0000"/>
                                <w:kern w:val="24"/>
                                <w:sz w:val="28"/>
                                <w:szCs w:val="32"/>
                              </w:rPr>
                              <w:t>2</w:t>
                            </w:r>
                            <w:r w:rsidRPr="008C0C37">
                              <w:rPr>
                                <w:rFonts w:asciiTheme="minorHAnsi" w:hAnsi="Calibri" w:cs="Arial"/>
                                <w:b/>
                                <w:bCs/>
                                <w:color w:val="FF0000"/>
                                <w:kern w:val="24"/>
                                <w:sz w:val="28"/>
                                <w:szCs w:val="32"/>
                              </w:rPr>
                              <w:t xml:space="preserve">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Entrata in vigore IMU con sforzo fiscale di 4 mld. Per i cittadini raddoppia la pressione fiscale a risorse praticamente invariate per i Comuni che infatti compensano i tagli</w:t>
                            </w:r>
                          </w:p>
                        </w:txbxContent>
                      </wps:txbx>
                      <wps:bodyPr anchor="t"/>
                    </wps:wsp>
                  </a:graphicData>
                </a:graphic>
              </wp:anchor>
            </w:drawing>
          </mc:Choice>
          <mc:Fallback>
            <w:pict>
              <v:shape w14:anchorId="575490F5" id="Callout con freccia in giù 26" o:spid="_x0000_s1028" type="#_x0000_t80" style="position:absolute;margin-left:304.15pt;margin-top:5.65pt;width:130.35pt;height:206.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6zAIAAOYFAAAOAAAAZHJzL2Uyb0RvYy54bWysVN1u2jAUvp+0d7B8v4YkJATUUCEKu+m2&#10;at20a2M7xJtjR7Yh9NF23RfbsRNQOno1DaTI9vn7vvN3e3dqJDpyY4VWJY5vJhhxRTUTal/i79+2&#10;HwqMrCOKEakVL/Ezt/hu+f7dbdcueKJrLRk3CJwou+jaEtfOtYsosrTmDbE3uuUKhJU2DXFwNfuI&#10;GdKB90ZGyWSSR502rDWacmvh9b4X4mXwX1Wcui9VZblDssSAzYWvCd+d/0bLW7LYG9LWgg4wyD+g&#10;aIhQEPTi6p44gg5GXLlqBDXa6srdUN1EuqoE5YEDsIknf7F5qknLAxdIjm0vabL/zy39fHw0SLAS&#10;JzOMFGmgRmsipT44RLVCleGUCoKEQnvx8hsluU9Z19oFWD61j8aTtu2Dpr8sUnpdE7XnK2N0V3PC&#10;AGjs9aNXBv5iwRTtuk+aQUBycDpk71SZxjuEvKBTKNLzpUj8BIjgMc6zbDrNMKIgS/JklqehjBFZ&#10;nM1bY91HrhvkDyVmulMB0kAshCLHB+tCxdhAm7CfMUZVI6EBjkSiOJlPZ0ODjHSSsU6Spml2rZOO&#10;dfI4DkmA5hi5mY5Vinl8ITEAAzpnGkNfsa2QEhntfghXh9bw2Q1Ce+ZiUash6ZPwbM1+t5YGAZkS&#10;b4pNsV2FYgAQ25v12vl0Pp9fW6zTdbrZvmkRT/zv2mRVrIrNOAiw2J/BSegh6I4SZ9PeHFlKJIfW&#10;63skDE8g6cFJhboSz7Mk68NoKS6yV8SSbbKdFwNMO1ZrhIPdIkVT4qKPGKbdN+ZGsXB2RMj+DEil&#10;8oF52BpDQmEMuHmqWYd28mC+EgAbwGPEhG8tWEGQB7jASrnQel2iN9JUTPw/8CKyrUlfoXTmy+Cn&#10;BSaqL104XzCE2whemCo/SP1AutPu1E+yd+KHbKfZM4wZUbTWANAF514AyyQ4Gxaf31bjO5zH63n5&#10;BwAA//8DAFBLAwQUAAYACAAAACEAbuKUhN8AAAAKAQAADwAAAGRycy9kb3ducmV2LnhtbEyPwU7D&#10;MBBE70j8g7WVuFEnASI3xKkQUi/AhcCFmxu7cdR4HdlOG/h6lhM9rUbzNDtTbxc3spMJcfAoIV9n&#10;wAx2Xg/YS/j82N0KYDEp1Gr0aCR8mwjb5vqqVpX2Z3w3pzb1jEIwVkqCTWmqOI+dNU7FtZ8Mknfw&#10;walEMvRcB3WmcDfyIstK7tSA9MGqyTxb0x3b2UmY7eZlbnfuS4TXQ/tTTNFZ8SblzWp5egSWzJL+&#10;YfirT9WhoU57P6OObJRQZuKOUDJyugSIckPj9hLui4cceFPzywnNLwAAAP//AwBQSwECLQAUAAYA&#10;CAAAACEAtoM4kv4AAADhAQAAEwAAAAAAAAAAAAAAAAAAAAAAW0NvbnRlbnRfVHlwZXNdLnhtbFBL&#10;AQItABQABgAIAAAAIQA4/SH/1gAAAJQBAAALAAAAAAAAAAAAAAAAAC8BAABfcmVscy8ucmVsc1BL&#10;AQItABQABgAIAAAAIQCWCih6zAIAAOYFAAAOAAAAAAAAAAAAAAAAAC4CAABkcnMvZTJvRG9jLnht&#10;bFBLAQItABQABgAIAAAAIQBu4pSE3wAAAAoBAAAPAAAAAAAAAAAAAAAAACYFAABkcnMvZG93bnJl&#10;di54bWxQSwUGAAAAAAQABADzAAAAMgYAAAAA&#10;" adj="19252,5760,20768,9402" fillcolor="#e8e8fa" strokecolor="#2f2f98">
                <v:fill color2="#a8a8ea" rotate="t" colors="0 #e8e8fa;42598f #c3c3ef;1 #a8a8ea" focus="100%" type="gradient"/>
                <v:shadow on="t" opacity="24903f" origin=",.5" offset="0,.55556mm"/>
                <v:textbo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Risorse: 29,</w:t>
                      </w:r>
                      <w:r>
                        <w:rPr>
                          <w:rFonts w:asciiTheme="minorHAnsi" w:hAnsi="Calibri" w:cs="Arial"/>
                          <w:b/>
                          <w:bCs/>
                          <w:color w:val="FF0000"/>
                          <w:kern w:val="24"/>
                          <w:sz w:val="28"/>
                          <w:szCs w:val="32"/>
                        </w:rPr>
                        <w:t>2</w:t>
                      </w:r>
                      <w:r w:rsidRPr="008C0C37">
                        <w:rPr>
                          <w:rFonts w:asciiTheme="minorHAnsi" w:hAnsi="Calibri" w:cs="Arial"/>
                          <w:b/>
                          <w:bCs/>
                          <w:color w:val="FF0000"/>
                          <w:kern w:val="24"/>
                          <w:sz w:val="28"/>
                          <w:szCs w:val="32"/>
                        </w:rPr>
                        <w:t xml:space="preserve"> mld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Entrata in vigore IMU con sforzo fiscale di 4 mld. Per i cittadini raddoppia la pressione fiscale a risorse praticamente invariate per i Comuni che infatti compensano i tagli</w:t>
                      </w:r>
                    </w:p>
                  </w:txbxContent>
                </v:textbox>
              </v:shape>
            </w:pict>
          </mc:Fallback>
        </mc:AlternateContent>
      </w:r>
      <w:r w:rsidRPr="00B87946">
        <w:rPr>
          <w:rFonts w:ascii="Book Antiqua" w:hAnsi="Book Antiqua"/>
          <w:noProof/>
          <w:lang w:eastAsia="it-IT"/>
        </w:rPr>
        <mc:AlternateContent>
          <mc:Choice Requires="wps">
            <w:drawing>
              <wp:anchor distT="0" distB="0" distL="114300" distR="114300" simplePos="0" relativeHeight="251661312" behindDoc="0" locked="0" layoutInCell="1" allowOverlap="1" wp14:anchorId="4B0C448F" wp14:editId="30AEF39F">
                <wp:simplePos x="0" y="0"/>
                <wp:positionH relativeFrom="column">
                  <wp:posOffset>5657850</wp:posOffset>
                </wp:positionH>
                <wp:positionV relativeFrom="paragraph">
                  <wp:posOffset>65405</wp:posOffset>
                </wp:positionV>
                <wp:extent cx="1655445" cy="2627630"/>
                <wp:effectExtent l="57150" t="38100" r="78105" b="96520"/>
                <wp:wrapNone/>
                <wp:docPr id="45" name="Callout con freccia in giù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2627630"/>
                        </a:xfrm>
                        <a:prstGeom prst="downArrowCallout">
                          <a:avLst>
                            <a:gd name="adj1" fmla="val 13059"/>
                            <a:gd name="adj2" fmla="val 23330"/>
                            <a:gd name="adj3" fmla="val 7831"/>
                            <a:gd name="adj4" fmla="val 8657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Risorse: 28,</w:t>
                            </w:r>
                            <w:r>
                              <w:rPr>
                                <w:rFonts w:asciiTheme="minorHAnsi" w:hAnsi="Calibri" w:cs="Arial"/>
                                <w:b/>
                                <w:bCs/>
                                <w:color w:val="FF0000"/>
                                <w:kern w:val="24"/>
                                <w:sz w:val="28"/>
                                <w:szCs w:val="32"/>
                              </w:rPr>
                              <w:t>0</w:t>
                            </w:r>
                            <w:r w:rsidRPr="008C0C37">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374 Comuni (20% pop),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hanno esaurito la manovrabilità su IMU ordinaria ed hanno aliquota massima Add.IRPEF.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La metà di essi non applica la progressività quindi ha esaurito margini per ulteriore gettito</w:t>
                            </w:r>
                          </w:p>
                        </w:txbxContent>
                      </wps:txbx>
                      <wps:bodyPr anchor="ctr"/>
                    </wps:wsp>
                  </a:graphicData>
                </a:graphic>
              </wp:anchor>
            </w:drawing>
          </mc:Choice>
          <mc:Fallback>
            <w:pict>
              <v:shape w14:anchorId="4B0C448F" id="Callout con freccia in giù 44" o:spid="_x0000_s1029" type="#_x0000_t80" style="position:absolute;margin-left:445.5pt;margin-top:5.15pt;width:130.35pt;height:20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w+zwIAAOgFAAAOAAAAZHJzL2Uyb0RvYy54bWysVN1u2jAUvp+0d7B8vyYkBAJqqBCF3XRb&#10;tW7atbGdxJtjR7Yh9NF23RfbsRNQWHs1DaTI9vn7vvN3e3dqJDpyY4VWBZ7cxBhxRTUTqirw92+7&#10;DzlG1hHFiNSKF/iZW3y3ev/utmuXPNG1lowbBE6UXXZtgWvn2mUUWVrzhtgb3XIFwlKbhji4mipi&#10;hnTgvZFREsezqNOGtUZTbi283vdCvAr+y5JT96UsLXdIFhiwufA14bv332h1S5aVIW0t6ACD/AOK&#10;hggFQS+u7okj6GDEK1eNoEZbXbobqptIl6WgPHAANpP4LzZPNWl54ALJse0lTfb/uaWfj48GCVbg&#10;aYaRIg3UaEOk1AeHqFaoNJxSQZBQqBIvv9F06lPWtXYJlk/to/Gkbfug6S+LlN7URFV8bYzuak4Y&#10;AJ14/ejKwF8smKJ990kzCEgOTofsnUrTeIeQF3QKRXq+FImfABE8TmZZNvVgKciSWTKfpaGMEVme&#10;zVtj3UeuG+QPBWa6UwHSQCyEIscH60LF2ECbsJ8TjMpGQgMciUSTNM4WQ4OMdJKxTpKmfXSo/Egn&#10;HevM8zQk4VplOlbJZ9l8HhJFlgMwoHOmMfQV2wkpkdHuh3B1aA2f3SC0Zy4WtRqSHodna6r9RhoE&#10;ZAq8zbf5bj3EqGxv1mvPpovF4rXFJt2k292bFpPY/16brPN1vh0HARbVGZyEHoLuKHA27c2RpURy&#10;aL2+R8LwBJIenFSoK/AiS7I+jJbiIrsiluyS3SIfYNqxWiMc7BYpmgLnfcQw7b4xt4qFsyNC9mdA&#10;KpUPzMPWGBIKY8DNU806tJcH85X4OQnUERO+tWAFQR7gAivlQuu6RG+kKY/9P/Aisq1JX6F07svg&#10;pwUmqi9dOF8whNsIXpgqP0j9QLrT/hQmOfVO/JDtNXuGMSOK1hoAUmeCey+CdRLcDavP76vxHc7j&#10;Bb36AwAA//8DAFBLAwQUAAYACAAAACEA7usEtt4AAAALAQAADwAAAGRycy9kb3ducmV2LnhtbEyP&#10;zU7DMBCE70i8g7VI3KjjtkAJ2VQV5edKWh7AjZckwl6H2G3C2+Oe4Dia0cw3xXpyVpxoCJ1nBDXL&#10;QBDX3nTcIHzsX25WIELUbLT1TAg/FGBdXl4UOjd+5IpOu9iIVMIh1whtjH0uZahbcjrMfE+cvE8/&#10;OB2THBppBj2mcmflPMvupNMdp4VW9/TUUv21OzqE77dF3Ib99tU/V+wqO266d9sgXl9Nm0cQkab4&#10;F4YzfkKHMjEd/JFNEBZh9aDSl5iMbAHiHFC36h7EAWE5XyqQZSH/fyh/AQAA//8DAFBLAQItABQA&#10;BgAIAAAAIQC2gziS/gAAAOEBAAATAAAAAAAAAAAAAAAAAAAAAABbQ29udGVudF9UeXBlc10ueG1s&#10;UEsBAi0AFAAGAAgAAAAhADj9If/WAAAAlAEAAAsAAAAAAAAAAAAAAAAALwEAAF9yZWxzLy5yZWxz&#10;UEsBAi0AFAAGAAgAAAAhAP2QTD7PAgAA6AUAAA4AAAAAAAAAAAAAAAAALgIAAGRycy9lMm9Eb2Mu&#10;eG1sUEsBAi0AFAAGAAgAAAAhAO7rBLbeAAAACwEAAA8AAAAAAAAAAAAAAAAAKQUAAGRycy9kb3du&#10;cmV2LnhtbFBLBQYAAAAABAAEAPMAAAA0BgAAAAA=&#10;" adj="18701,5761,20534,9390" fillcolor="#e8e8fa" strokecolor="#2f2f98">
                <v:fill color2="#a8a8ea" rotate="t" colors="0 #e8e8fa;42598f #c3c3ef;1 #a8a8ea" focus="100%" type="gradient"/>
                <v:shadow on="t" opacity="24903f" origin=",.5" offset="0,.55556mm"/>
                <v:textbo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Risorse: 28,</w:t>
                      </w:r>
                      <w:r>
                        <w:rPr>
                          <w:rFonts w:asciiTheme="minorHAnsi" w:hAnsi="Calibri" w:cs="Arial"/>
                          <w:b/>
                          <w:bCs/>
                          <w:color w:val="FF0000"/>
                          <w:kern w:val="24"/>
                          <w:sz w:val="28"/>
                          <w:szCs w:val="32"/>
                        </w:rPr>
                        <w:t>0</w:t>
                      </w:r>
                      <w:r w:rsidRPr="008C0C37">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374 Comuni (20% pop),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hanno esaurito la manovrabilità su IMU ordinaria ed hanno aliquota massima Add.IRPEF. </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La metà di essi non applica la progressività quindi ha esaurito margini per ulteriore gettito</w:t>
                      </w:r>
                    </w:p>
                  </w:txbxContent>
                </v:textbox>
              </v:shape>
            </w:pict>
          </mc:Fallback>
        </mc:AlternateContent>
      </w:r>
      <w:r w:rsidRPr="00B87946">
        <w:rPr>
          <w:rFonts w:ascii="Book Antiqua" w:hAnsi="Book Antiqua"/>
          <w:noProof/>
          <w:lang w:eastAsia="it-IT"/>
        </w:rPr>
        <mc:AlternateContent>
          <mc:Choice Requires="wps">
            <w:drawing>
              <wp:anchor distT="0" distB="0" distL="114300" distR="114300" simplePos="0" relativeHeight="251667456" behindDoc="0" locked="0" layoutInCell="1" allowOverlap="1" wp14:anchorId="42C4F427" wp14:editId="18D74A65">
                <wp:simplePos x="0" y="0"/>
                <wp:positionH relativeFrom="column">
                  <wp:posOffset>7436485</wp:posOffset>
                </wp:positionH>
                <wp:positionV relativeFrom="paragraph">
                  <wp:posOffset>66675</wp:posOffset>
                </wp:positionV>
                <wp:extent cx="1655445" cy="2627630"/>
                <wp:effectExtent l="57150" t="38100" r="78105" b="96520"/>
                <wp:wrapNone/>
                <wp:docPr id="30" name="Callout con freccia in giù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2627630"/>
                        </a:xfrm>
                        <a:prstGeom prst="downArrowCallout">
                          <a:avLst>
                            <a:gd name="adj1" fmla="val 13059"/>
                            <a:gd name="adj2" fmla="val 23330"/>
                            <a:gd name="adj3" fmla="val 7831"/>
                            <a:gd name="adj4" fmla="val 8657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w:t>
                            </w:r>
                            <w:r>
                              <w:rPr>
                                <w:rFonts w:asciiTheme="minorHAnsi" w:hAnsi="Calibri" w:cs="Arial"/>
                                <w:b/>
                                <w:bCs/>
                                <w:color w:val="FF0000"/>
                                <w:kern w:val="24"/>
                                <w:sz w:val="28"/>
                                <w:szCs w:val="32"/>
                              </w:rPr>
                              <w:t>27,7</w:t>
                            </w:r>
                            <w:r w:rsidRPr="008C0C37">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Con il passaggio </w:t>
                            </w:r>
                            <w:r>
                              <w:rPr>
                                <w:rFonts w:asciiTheme="minorHAnsi" w:hAnsi="Calibri" w:cs="Arial"/>
                                <w:color w:val="000000" w:themeColor="dark1"/>
                                <w:kern w:val="24"/>
                                <w:sz w:val="22"/>
                              </w:rPr>
                              <w:t xml:space="preserve">da </w:t>
                            </w:r>
                            <w:r w:rsidRPr="008C0C37">
                              <w:rPr>
                                <w:rFonts w:asciiTheme="minorHAnsi" w:hAnsi="Calibri" w:cs="Arial"/>
                                <w:color w:val="000000" w:themeColor="dark1"/>
                                <w:kern w:val="24"/>
                                <w:sz w:val="22"/>
                              </w:rPr>
                              <w:t xml:space="preserve">IMU Abitazione principale </w:t>
                            </w:r>
                            <w:r>
                              <w:rPr>
                                <w:rFonts w:asciiTheme="minorHAnsi" w:hAnsi="Calibri" w:cs="Arial"/>
                                <w:color w:val="000000" w:themeColor="dark1"/>
                                <w:kern w:val="24"/>
                                <w:sz w:val="22"/>
                              </w:rPr>
                              <w:t xml:space="preserve">a </w:t>
                            </w:r>
                            <w:r w:rsidRPr="008C0C37">
                              <w:rPr>
                                <w:rFonts w:asciiTheme="minorHAnsi" w:hAnsi="Calibri" w:cs="Arial"/>
                                <w:color w:val="000000" w:themeColor="dark1"/>
                                <w:kern w:val="24"/>
                                <w:sz w:val="22"/>
                              </w:rPr>
                              <w:t>TASI i Comuni</w:t>
                            </w:r>
                            <w:r>
                              <w:rPr>
                                <w:rFonts w:asciiTheme="minorHAnsi" w:hAnsi="Calibri" w:cs="Arial"/>
                                <w:color w:val="000000" w:themeColor="dark1"/>
                                <w:kern w:val="24"/>
                                <w:sz w:val="22"/>
                              </w:rPr>
                              <w:t xml:space="preserve"> devono esercitare pressione fiscale per ricostituire il gettito IMU abitazione principale e le relative detrazioni.</w:t>
                            </w:r>
                          </w:p>
                        </w:txbxContent>
                      </wps:txbx>
                      <wps:bodyPr anchor="t"/>
                    </wps:wsp>
                  </a:graphicData>
                </a:graphic>
              </wp:anchor>
            </w:drawing>
          </mc:Choice>
          <mc:Fallback>
            <w:pict>
              <v:shape w14:anchorId="42C4F427" id="Callout con freccia in giù 29" o:spid="_x0000_s1030" type="#_x0000_t80" style="position:absolute;margin-left:585.55pt;margin-top:5.25pt;width:130.35pt;height:206.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NywIAAOYFAAAOAAAAZHJzL2Uyb0RvYy54bWysVN1u2jAUvp+0d7B8vyYkBAJqqBCF3XRb&#10;tW7atbGdxJtjR7Yh9NF23RfbsRNQWHs1DaTI9vn7vvN3e3dqJDpyY4VWBZ7cxBhxRTUTqirw92+7&#10;DzlG1hHFiNSKF/iZW3y3ev/utmuXPNG1lowbBE6UXXZtgWvn2mUUWVrzhtgb3XIFwlKbhji4mipi&#10;hnTgvZFREsezqNOGtUZTbi283vdCvAr+y5JT96UsLXdIFhiwufA14bv332h1S5aVIW0t6ACD/AOK&#10;hggFQS+u7okj6GDEK1eNoEZbXbobqptIl6WgPHAANpP4LzZPNWl54ALJse0lTfb/uaWfj48GCVbg&#10;FNKjSAM12hAp9cEhqhUqDadUECQUqsTLb5QsfMq61i7B8ql9NJ60bR80/WWR0puaqIqvjdFdzQkD&#10;oBOvH10Z+IsFU7TvPmkGAcnB6ZC9U2ka7xDygk6hSM+XIvETIILHySzLptMMIwqyZJbMZ4DcxyDL&#10;s3lrrPvIdYP8ocBMdypAGoiFUOT4YF2oGBtoE/ZzglHZSGiAI5FoksZZYAtVHekkY50kTfvo1zrp&#10;WGeepyEJ1yrTsUo+y+bzgcQADOicaQx9xXZCSmS0+yFcHVrDZzcI7ZmLRa2GpMfh2Zpqv5EGAZkC&#10;b/NtvlsPMSrbm/Xas+lisXhtsUk36Xb3psUk9r/XJut8nW/HQYBFdQYnoYegOwqcTXtzZCmRHFqv&#10;7xFQNSSQ9OCkQl2BF1mS9WG0FBfZFbFkl+wW+QDTjtUa4WC3SNEUOO8jhmn3jblVLJwdEbI/A1Kp&#10;fGAetsaQUBgDbp5q1qG9PJivBMAG8Bgx4VsLVhDkAS6wUi60rkv0Rpry2P8DLyLbmvQVSue+DH0n&#10;DwxDV18whNsIXpgqP0j9QLrT/hQmeeqd+CHba/YMY0YUrTUAdMG5F8AyCc6Gxee31fgO5/F6Xv0B&#10;AAD//wMAUEsDBBQABgAIAAAAIQB9J4Ub3gAAAAwBAAAPAAAAZHJzL2Rvd25yZXYueG1sTI/LTsMw&#10;EEX3SPyDNUjsqJ02vEKcqgJVILGi8AFOPMQR8TiK3TTt1zNdwW6u5ug+yvXsezHhGLtAGrKFAoHU&#10;BNtRq+Hrc3vzACImQ9b0gVDDESOsq8uL0hQ2HOgDp11qBZtQLIwGl9JQSBkbh97ERRiQ+PcdRm8S&#10;y7GVdjQHNve9XCp1J73piBOcGfDZYfOz23sNw+ReJ9fNj6eX+h1HReG0iW9aX1/NmycQCef0B8O5&#10;PleHijvVYU82ip51dp9lzPKlbkGciXyV8ZpaQ77MVyCrUv4fUf0CAAD//wMAUEsBAi0AFAAGAAgA&#10;AAAhALaDOJL+AAAA4QEAABMAAAAAAAAAAAAAAAAAAAAAAFtDb250ZW50X1R5cGVzXS54bWxQSwEC&#10;LQAUAAYACAAAACEAOP0h/9YAAACUAQAACwAAAAAAAAAAAAAAAAAvAQAAX3JlbHMvLnJlbHNQSwEC&#10;LQAUAAYACAAAACEA0P9DDcsCAADmBQAADgAAAAAAAAAAAAAAAAAuAgAAZHJzL2Uyb0RvYy54bWxQ&#10;SwECLQAUAAYACAAAACEAfSeFG94AAAAMAQAADwAAAAAAAAAAAAAAAAAlBQAAZHJzL2Rvd25yZXYu&#10;eG1sUEsFBgAAAAAEAAQA8wAAADAGAAAAAA==&#10;" adj="18701,5761,20534,9390" fillcolor="#e8e8fa" strokecolor="#2f2f98">
                <v:fill color2="#a8a8ea" rotate="t" colors="0 #e8e8fa;42598f #c3c3ef;1 #a8a8ea" focus="100%" type="gradient"/>
                <v:shadow on="t" opacity="24903f" origin=",.5" offset="0,.55556mm"/>
                <v:textbox>
                  <w:txbxContent>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b/>
                          <w:bCs/>
                          <w:color w:val="FF0000"/>
                          <w:kern w:val="24"/>
                          <w:sz w:val="28"/>
                          <w:szCs w:val="32"/>
                        </w:rPr>
                        <w:t xml:space="preserve">Risorse: </w:t>
                      </w:r>
                      <w:r>
                        <w:rPr>
                          <w:rFonts w:asciiTheme="minorHAnsi" w:hAnsi="Calibri" w:cs="Arial"/>
                          <w:b/>
                          <w:bCs/>
                          <w:color w:val="FF0000"/>
                          <w:kern w:val="24"/>
                          <w:sz w:val="28"/>
                          <w:szCs w:val="32"/>
                        </w:rPr>
                        <w:t>27,7</w:t>
                      </w:r>
                      <w:r w:rsidRPr="008C0C37">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jc w:val="center"/>
                        <w:textAlignment w:val="baseline"/>
                        <w:rPr>
                          <w:sz w:val="22"/>
                        </w:rPr>
                      </w:pPr>
                      <w:r w:rsidRPr="008C0C37">
                        <w:rPr>
                          <w:rFonts w:asciiTheme="minorHAnsi" w:hAnsi="Calibri" w:cs="Arial"/>
                          <w:color w:val="000000" w:themeColor="dark1"/>
                          <w:kern w:val="24"/>
                          <w:sz w:val="22"/>
                        </w:rPr>
                        <w:t xml:space="preserve">Con il passaggio </w:t>
                      </w:r>
                      <w:r>
                        <w:rPr>
                          <w:rFonts w:asciiTheme="minorHAnsi" w:hAnsi="Calibri" w:cs="Arial"/>
                          <w:color w:val="000000" w:themeColor="dark1"/>
                          <w:kern w:val="24"/>
                          <w:sz w:val="22"/>
                        </w:rPr>
                        <w:t xml:space="preserve">da </w:t>
                      </w:r>
                      <w:r w:rsidRPr="008C0C37">
                        <w:rPr>
                          <w:rFonts w:asciiTheme="minorHAnsi" w:hAnsi="Calibri" w:cs="Arial"/>
                          <w:color w:val="000000" w:themeColor="dark1"/>
                          <w:kern w:val="24"/>
                          <w:sz w:val="22"/>
                        </w:rPr>
                        <w:t xml:space="preserve">IMU Abitazione principale </w:t>
                      </w:r>
                      <w:r>
                        <w:rPr>
                          <w:rFonts w:asciiTheme="minorHAnsi" w:hAnsi="Calibri" w:cs="Arial"/>
                          <w:color w:val="000000" w:themeColor="dark1"/>
                          <w:kern w:val="24"/>
                          <w:sz w:val="22"/>
                        </w:rPr>
                        <w:t xml:space="preserve">a </w:t>
                      </w:r>
                      <w:r w:rsidRPr="008C0C37">
                        <w:rPr>
                          <w:rFonts w:asciiTheme="minorHAnsi" w:hAnsi="Calibri" w:cs="Arial"/>
                          <w:color w:val="000000" w:themeColor="dark1"/>
                          <w:kern w:val="24"/>
                          <w:sz w:val="22"/>
                        </w:rPr>
                        <w:t>TASI i Comuni</w:t>
                      </w:r>
                      <w:r>
                        <w:rPr>
                          <w:rFonts w:asciiTheme="minorHAnsi" w:hAnsi="Calibri" w:cs="Arial"/>
                          <w:color w:val="000000" w:themeColor="dark1"/>
                          <w:kern w:val="24"/>
                          <w:sz w:val="22"/>
                        </w:rPr>
                        <w:t xml:space="preserve"> devono esercitare pressione fiscale per ricostituire il gettito IMU abitazione principale e le relative detrazioni.</w:t>
                      </w:r>
                    </w:p>
                  </w:txbxContent>
                </v:textbox>
              </v:shape>
            </w:pict>
          </mc:Fallback>
        </mc:AlternateContent>
      </w:r>
    </w:p>
    <w:p w:rsidR="00B87946" w:rsidRPr="00B87946" w:rsidRDefault="00B87946" w:rsidP="00B87946">
      <w:pPr>
        <w:rPr>
          <w:rFonts w:ascii="Book Antiqua" w:hAnsi="Book Antiqua"/>
        </w:rPr>
      </w:pPr>
    </w:p>
    <w:p w:rsidR="00B87946" w:rsidRPr="00B87946" w:rsidRDefault="00B87946" w:rsidP="00B87946">
      <w:pPr>
        <w:rPr>
          <w:rFonts w:ascii="Book Antiqua" w:hAnsi="Book Antiqua"/>
        </w:rPr>
      </w:pPr>
    </w:p>
    <w:p w:rsidR="00B87946" w:rsidRPr="00B87946" w:rsidRDefault="00B87946" w:rsidP="00B87946">
      <w:pPr>
        <w:jc w:val="center"/>
        <w:rPr>
          <w:rFonts w:ascii="Book Antiqua" w:hAnsi="Book Antiqua"/>
          <w:i/>
        </w:rPr>
      </w:pPr>
      <w:r w:rsidRPr="00B87946">
        <w:rPr>
          <w:rFonts w:ascii="Book Antiqua" w:hAnsi="Book Antiqua"/>
          <w:i/>
          <w:noProof/>
          <w:lang w:eastAsia="it-IT"/>
        </w:rPr>
        <mc:AlternateContent>
          <mc:Choice Requires="wps">
            <w:drawing>
              <wp:anchor distT="0" distB="0" distL="114300" distR="114300" simplePos="0" relativeHeight="251663360" behindDoc="0" locked="0" layoutInCell="1" allowOverlap="1" wp14:anchorId="164DD072" wp14:editId="42427164">
                <wp:simplePos x="0" y="0"/>
                <wp:positionH relativeFrom="column">
                  <wp:posOffset>280035</wp:posOffset>
                </wp:positionH>
                <wp:positionV relativeFrom="paragraph">
                  <wp:posOffset>2950845</wp:posOffset>
                </wp:positionV>
                <wp:extent cx="1655445" cy="1439545"/>
                <wp:effectExtent l="57150" t="38100" r="78105" b="103505"/>
                <wp:wrapNone/>
                <wp:docPr id="22" name="Callout con freccia in su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439545"/>
                        </a:xfrm>
                        <a:prstGeom prst="upArrowCallout">
                          <a:avLst>
                            <a:gd name="adj1" fmla="val 12472"/>
                            <a:gd name="adj2" fmla="val 24997"/>
                            <a:gd name="adj3" fmla="val 13241"/>
                            <a:gd name="adj4" fmla="val 7841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0 </w:t>
                            </w:r>
                          </w:p>
                          <w:p w:rsidR="00B87946" w:rsidRPr="00BF1454" w:rsidRDefault="00B87946" w:rsidP="00B87946">
                            <w:pPr>
                              <w:pStyle w:val="NormaleWeb"/>
                              <w:spacing w:before="0" w:beforeAutospacing="0" w:after="0" w:afterAutospacing="0"/>
                              <w:jc w:val="center"/>
                              <w:textAlignment w:val="baseline"/>
                              <w:rPr>
                                <w:rFonts w:asciiTheme="minorHAnsi" w:hAnsi="Calibri" w:cs="Arial"/>
                                <w:color w:val="000000" w:themeColor="dark1"/>
                                <w:kern w:val="24"/>
                                <w:sz w:val="22"/>
                              </w:rPr>
                            </w:pPr>
                            <w:r w:rsidRPr="00BF1454">
                              <w:rPr>
                                <w:rFonts w:asciiTheme="minorHAnsi" w:hAnsi="Calibri" w:cs="Arial"/>
                                <w:color w:val="000000" w:themeColor="dark1"/>
                                <w:kern w:val="24"/>
                                <w:sz w:val="22"/>
                              </w:rPr>
                              <w:t>non sono disposti tagli ai trasferimenti</w:t>
                            </w:r>
                          </w:p>
                        </w:txbxContent>
                      </wps:txbx>
                      <wps:bodyPr anchor="t"/>
                    </wps:wsp>
                  </a:graphicData>
                </a:graphic>
              </wp:anchor>
            </w:drawing>
          </mc:Choice>
          <mc:Fallback>
            <w:pict>
              <v:shapetype w14:anchorId="164DD07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con freccia in su 21" o:spid="_x0000_s1031" type="#_x0000_t79" style="position:absolute;left:0;text-align:left;margin-left:22.05pt;margin-top:232.35pt;width:130.35pt;height:11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VzxgIAAOMFAAAOAAAAZHJzL2Uyb0RvYy54bWysVFtv2jAUfp+0/2D5fQ0JoQTUUCEKe+m2&#10;at20Z2M7iTfHtmxD6L/fsRNYOvo0DaTIxz6X7zu3u/tTK9GRWye0KnF6M8GIK6qZUHWJv3/bfSgw&#10;cp4oRqRWvMQv3OH71ft3d51Z8kw3WjJuEThRbtmZEjfem2WSONrwlrgbbbiCx0rblngQbZ0wSzrw&#10;3sokm0xuk05bZqym3Dm4fegf8Sr6rypO/ZeqctwjWWLA5uPXxu8+fJPVHVnWlphG0AEG+QcULREK&#10;gl5cPRBP0MGKK1etoFY7XfkbqttEV5WgPHIANunkLzbPDTE8coHkOHNJk/t/bunn45NFgpU4yzBS&#10;pIUabYiU+uAR1QpVllMqCBIKuQPK0pCwzrgl2D2bJxsoO/Oo6S+HlN40RNV8ba3uGk4YwIz6ySuD&#10;IDgwRfvuk2YQjhy8jrk7VbYNDiEr6BRL9HIpET8BHrhMb2ezPJ9hROEtzaeLGQiAKSHLs7mxzn/k&#10;ukXhUOKDiYAGUjEQOT46H6vFBsqE/UwxqloJxT8SidIsn2dDc4x0IEV/dLJ8sZhf60zHOuk0y2MO&#10;oDNGfvKxzrzI0+gHOAzI4HRmMTQV2wkpkdX+h/BN7IuQ3PjozmQcMhpyPonXztb7jbQI2JR4W2yL&#10;3XrIU+16s177Flgsri020810u3vTIp2E37XJulgX23EQYFGfwUloIGiOEs/y3hw5SiSHvutbJE5O&#10;JBnASYW6Ei9m2awPo6W4vL0ilu2y3aIYYLqxWis8LBYp2hIXfcQ46qEvt4rFsydC9mdAKlUIzOPK&#10;GBIKM8Dtc8M6tJcH+5UA2AgeIyZCZ8H+gTyAAPvkQut1id5IUzEJ/8iLSNOQvkLTeShD38gDw9jU&#10;FwxRGsGLQxXmqJ9Hf9qf4hjHaQgzttfsBaaMKNpoAOij8/AAmyQ6G7ZeWFVjGc7j3bz6DQAA//8D&#10;AFBLAwQUAAYACAAAACEAzXFClt8AAAAKAQAADwAAAGRycy9kb3ducmV2LnhtbEyPy07DMBBF90j8&#10;gzVI7KiTYoU0xKl4rkBIlFZs3djEEfE42G4T/p5hBavRaI7unFuvZzewowmx9yghX2TADLZe99hJ&#10;2L49XpTAYlKo1eDRSPg2EdbN6UmtKu0nfDXHTeoYhWCslASb0lhxHltrnIoLPxqk24cPTiVaQ8d1&#10;UBOFu4Evs6zgTvVIH6wazZ017efm4CTcf22fpnebyuVteLZ2V4rh5UFIeX4231wDS2ZOfzD86pM6&#10;NOS09wfUkQ0ShMiJpFmIK2AEXGaCuuwlFKtcAG9q/r9C8wMAAP//AwBQSwECLQAUAAYACAAAACEA&#10;toM4kv4AAADhAQAAEwAAAAAAAAAAAAAAAAAAAAAAW0NvbnRlbnRfVHlwZXNdLnhtbFBLAQItABQA&#10;BgAIAAAAIQA4/SH/1gAAAJQBAAALAAAAAAAAAAAAAAAAAC8BAABfcmVscy8ucmVsc1BLAQItABQA&#10;BgAIAAAAIQBuRzVzxgIAAOMFAAAOAAAAAAAAAAAAAAAAAC4CAABkcnMvZTJvRG9jLnhtbFBLAQIt&#10;ABQABgAIAAAAIQDNcUKW3wAAAAoBAAAPAAAAAAAAAAAAAAAAACAFAABkcnMvZG93bnJldi54bWxQ&#10;SwUGAAAAAAQABADzAAAALAYAAAAA&#10;" adj="4662,6105,2860,9629" fillcolor="#e8e8fa" strokecolor="#2f2f98">
                <v:fill color2="#a8a8ea" rotate="t" colors="0 #e8e8fa;42598f #c3c3ef;1 #a8a8ea" focus="100%" type="gradient"/>
                <v:shadow on="t" opacity="24903f" origin=",.5" offset="0,.55556mm"/>
                <v:textbo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0 </w:t>
                      </w:r>
                    </w:p>
                    <w:p w:rsidR="00B87946" w:rsidRPr="00BF1454" w:rsidRDefault="00B87946" w:rsidP="00B87946">
                      <w:pPr>
                        <w:pStyle w:val="NormaleWeb"/>
                        <w:spacing w:before="0" w:beforeAutospacing="0" w:after="0" w:afterAutospacing="0"/>
                        <w:jc w:val="center"/>
                        <w:textAlignment w:val="baseline"/>
                        <w:rPr>
                          <w:rFonts w:asciiTheme="minorHAnsi" w:hAnsi="Calibri" w:cs="Arial"/>
                          <w:color w:val="000000" w:themeColor="dark1"/>
                          <w:kern w:val="24"/>
                          <w:sz w:val="22"/>
                        </w:rPr>
                      </w:pPr>
                      <w:r w:rsidRPr="00BF1454">
                        <w:rPr>
                          <w:rFonts w:asciiTheme="minorHAnsi" w:hAnsi="Calibri" w:cs="Arial"/>
                          <w:color w:val="000000" w:themeColor="dark1"/>
                          <w:kern w:val="24"/>
                          <w:sz w:val="22"/>
                        </w:rPr>
                        <w:t>non sono disposti tagli ai trasferimenti</w:t>
                      </w:r>
                    </w:p>
                  </w:txbxContent>
                </v:textbox>
              </v:shape>
            </w:pict>
          </mc:Fallback>
        </mc:AlternateContent>
      </w:r>
      <w:r w:rsidRPr="00B87946">
        <w:rPr>
          <w:rFonts w:ascii="Book Antiqua" w:hAnsi="Book Antiqua"/>
          <w:i/>
          <w:noProof/>
          <w:lang w:eastAsia="it-IT"/>
        </w:rPr>
        <mc:AlternateContent>
          <mc:Choice Requires="wps">
            <w:drawing>
              <wp:anchor distT="0" distB="0" distL="114300" distR="114300" simplePos="0" relativeHeight="251664384" behindDoc="0" locked="0" layoutInCell="1" allowOverlap="1" wp14:anchorId="0658D1A1" wp14:editId="186EC2B1">
                <wp:simplePos x="0" y="0"/>
                <wp:positionH relativeFrom="column">
                  <wp:posOffset>2060575</wp:posOffset>
                </wp:positionH>
                <wp:positionV relativeFrom="paragraph">
                  <wp:posOffset>2948305</wp:posOffset>
                </wp:positionV>
                <wp:extent cx="1655445" cy="1439545"/>
                <wp:effectExtent l="57150" t="38100" r="78105" b="103505"/>
                <wp:wrapNone/>
                <wp:docPr id="25" name="Callout con freccia in su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439545"/>
                        </a:xfrm>
                        <a:prstGeom prst="upArrowCallout">
                          <a:avLst>
                            <a:gd name="adj1" fmla="val 12472"/>
                            <a:gd name="adj2" fmla="val 24997"/>
                            <a:gd name="adj3" fmla="val 13241"/>
                            <a:gd name="adj4" fmla="val 7841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Tagli: 1,9 mld</w:t>
                            </w:r>
                          </w:p>
                          <w:p w:rsidR="00B87946" w:rsidRPr="00BF1454" w:rsidRDefault="00B87946" w:rsidP="00B87946">
                            <w:pPr>
                              <w:pStyle w:val="NormaleWeb"/>
                              <w:spacing w:before="0" w:beforeAutospacing="0" w:after="0" w:afterAutospacing="0"/>
                              <w:textAlignment w:val="baseline"/>
                              <w:rPr>
                                <w:rFonts w:asciiTheme="minorHAnsi" w:hAnsiTheme="minorHAnsi" w:cs="Arial"/>
                                <w:color w:val="000000" w:themeColor="dark1"/>
                                <w:kern w:val="24"/>
                                <w:sz w:val="22"/>
                              </w:rPr>
                            </w:pPr>
                            <w:r w:rsidRPr="00BF1454">
                              <w:rPr>
                                <w:rFonts w:asciiTheme="minorHAnsi" w:hAnsiTheme="minorHAnsi" w:cs="Arial"/>
                                <w:color w:val="000000" w:themeColor="dark1"/>
                                <w:kern w:val="24"/>
                                <w:sz w:val="22"/>
                              </w:rPr>
                              <w:t>- 1,5 mld dl 78/2010</w:t>
                            </w:r>
                          </w:p>
                          <w:p w:rsidR="00B87946" w:rsidRPr="00BF1454" w:rsidRDefault="00B87946" w:rsidP="00B87946">
                            <w:pPr>
                              <w:pStyle w:val="NormaleWeb"/>
                              <w:spacing w:before="0" w:beforeAutospacing="0" w:after="0" w:afterAutospacing="0"/>
                              <w:textAlignment w:val="baseline"/>
                              <w:rPr>
                                <w:rFonts w:asciiTheme="minorHAnsi" w:hAnsiTheme="minorHAnsi"/>
                                <w:sz w:val="22"/>
                              </w:rPr>
                            </w:pPr>
                            <w:r w:rsidRPr="00BF1454">
                              <w:rPr>
                                <w:rFonts w:asciiTheme="minorHAnsi" w:hAnsiTheme="minorHAnsi" w:cs="Arial"/>
                                <w:color w:val="000000" w:themeColor="dark1"/>
                                <w:kern w:val="24"/>
                                <w:sz w:val="22"/>
                              </w:rPr>
                              <w:t xml:space="preserve">- 400 mln di altri tagli </w:t>
                            </w:r>
                          </w:p>
                        </w:txbxContent>
                      </wps:txbx>
                      <wps:bodyPr anchor="t"/>
                    </wps:wsp>
                  </a:graphicData>
                </a:graphic>
              </wp:anchor>
            </w:drawing>
          </mc:Choice>
          <mc:Fallback>
            <w:pict>
              <v:shape w14:anchorId="0658D1A1" id="Callout con freccia in su 24" o:spid="_x0000_s1032" type="#_x0000_t79" style="position:absolute;left:0;text-align:left;margin-left:162.25pt;margin-top:232.15pt;width:130.35pt;height:11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o7xQIAAOMFAAAOAAAAZHJzL2Uyb0RvYy54bWysVFtv2jAUfp+0/2D5fQ0JAQJqqBCFvXRr&#10;tW7as7Ed4s2xLdsQ+u937AQURp+mgRT52Ofyfed2/3BqJDpy64RWJU7vRhhxRTUTal/iH9+3nwqM&#10;nCeKEakVL/Ebd/hh+fHDfWsWPNO1loxbBE6UW7SmxLX3ZpEkjta8Ie5OG67gsdK2IR5Eu0+YJS14&#10;b2SSjUbTpNWWGaspdw5uH7tHvIz+q4pT/1xVjnskSwzYfPza+N2Fb7K8J4u9JaYWtIdB/gFFQ4SC&#10;oBdXj8QTdLDixlUjqNVOV/6O6ibRVSUojxyATTr6i81rTQyPXCA5zlzS5P6fW/r1+GKRYCXOJhgp&#10;0kCN1kRKffCIaoUqyykVBAmF3AFleUhYa9wC7F7Niw2UnXnS9LdDSq9rovZ8Za1ua04YwEyDfnJl&#10;EAQHpmjXftEMwpGD1zF3p8o2wSFkBZ1iid4uJeInwAOX6XQyyXOASuEtzcfzCQghBlmczY11/jPX&#10;DQqHEh9MBNSTioHI8cn5WC3WUybsV4pR1Ugo/pFIlGb5LOubY6CTDXWyfD6f3eqMhzrpOMtjDqAz&#10;Bn7yoc6syNPoBzj0yOB0ZtE3FdsKKZHV/qfwdeyLkNz46M5kHDIacj6K187ud2tpEbAp8abYFNtV&#10;n6e968w67SmwmN9arMfr8Wb7rkU6Cr9bk1WxKjbDIMBifwYnoYGgOUo8yTtz5CiRHPqua5E4OZFk&#10;ACcVaks8n0BPBtFpKS5vV8SybbadFz3MK7VGeFgsUjQlLrqIcdRDX24Ui2dPhOzOgFSqEInHldEn&#10;FGaA29eatWgnD/YbAbARPEZMhM6C/QN5AAH2yYXWdYneSVMxCv/Ii0hTk65C41koQ9fIPcPY1BcM&#10;URrAi0MV5qibR3/aneIYT4OTMGM7zd5gyoiitQaAPjoPD7BJorN+64VVNZThPNzNyz8AAAD//wMA&#10;UEsDBBQABgAIAAAAIQDHETO74QAAAAsBAAAPAAAAZHJzL2Rvd25yZXYueG1sTI/LTsMwEEX3SPyD&#10;NUjsqNPUidIQp+K5AiFRWrF1YxNH2ONgu034e8wKlqN7dO+ZZjNbQ07Kh8Ehh+UiA6Kwc3LAnsPu&#10;7fGqAhKiQCmMQ8XhWwXYtOdnjailm/BVnbaxJ6kEQy046BjHmtLQaWVFWLhRYco+nLciptP3VHox&#10;pXJraJ5lJbViwLSgxajutOo+t0fL4f5r9zS961jlt/5Z633FzMsD4/zyYr65BhLVHP9g+NVP6tAm&#10;p4M7ogzEcFjlrEgoB1ayFZBEFFWRAzlwKNfLDGjb0P8/tD8AAAD//wMAUEsBAi0AFAAGAAgAAAAh&#10;ALaDOJL+AAAA4QEAABMAAAAAAAAAAAAAAAAAAAAAAFtDb250ZW50X1R5cGVzXS54bWxQSwECLQAU&#10;AAYACAAAACEAOP0h/9YAAACUAQAACwAAAAAAAAAAAAAAAAAvAQAAX3JlbHMvLnJlbHNQSwECLQAU&#10;AAYACAAAACEADDPKO8UCAADjBQAADgAAAAAAAAAAAAAAAAAuAgAAZHJzL2Uyb0RvYy54bWxQSwEC&#10;LQAUAAYACAAAACEAxxEzu+EAAAALAQAADwAAAAAAAAAAAAAAAAAfBQAAZHJzL2Rvd25yZXYueG1s&#10;UEsFBgAAAAAEAAQA8wAAAC0GAAAAAA==&#10;" adj="4662,6105,2860,9629" fillcolor="#e8e8fa" strokecolor="#2f2f98">
                <v:fill color2="#a8a8ea" rotate="t" colors="0 #e8e8fa;42598f #c3c3ef;1 #a8a8ea" focus="100%" type="gradient"/>
                <v:shadow on="t" opacity="24903f" origin=",.5" offset="0,.55556mm"/>
                <v:textbo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Tagli: 1,9 mld</w:t>
                      </w:r>
                    </w:p>
                    <w:p w:rsidR="00B87946" w:rsidRPr="00BF1454" w:rsidRDefault="00B87946" w:rsidP="00B87946">
                      <w:pPr>
                        <w:pStyle w:val="NormaleWeb"/>
                        <w:spacing w:before="0" w:beforeAutospacing="0" w:after="0" w:afterAutospacing="0"/>
                        <w:textAlignment w:val="baseline"/>
                        <w:rPr>
                          <w:rFonts w:asciiTheme="minorHAnsi" w:hAnsiTheme="minorHAnsi" w:cs="Arial"/>
                          <w:color w:val="000000" w:themeColor="dark1"/>
                          <w:kern w:val="24"/>
                          <w:sz w:val="22"/>
                        </w:rPr>
                      </w:pPr>
                      <w:r w:rsidRPr="00BF1454">
                        <w:rPr>
                          <w:rFonts w:asciiTheme="minorHAnsi" w:hAnsiTheme="minorHAnsi" w:cs="Arial"/>
                          <w:color w:val="000000" w:themeColor="dark1"/>
                          <w:kern w:val="24"/>
                          <w:sz w:val="22"/>
                        </w:rPr>
                        <w:t>- 1,5 mld dl 78/2010</w:t>
                      </w:r>
                    </w:p>
                    <w:p w:rsidR="00B87946" w:rsidRPr="00BF1454" w:rsidRDefault="00B87946" w:rsidP="00B87946">
                      <w:pPr>
                        <w:pStyle w:val="NormaleWeb"/>
                        <w:spacing w:before="0" w:beforeAutospacing="0" w:after="0" w:afterAutospacing="0"/>
                        <w:textAlignment w:val="baseline"/>
                        <w:rPr>
                          <w:rFonts w:asciiTheme="minorHAnsi" w:hAnsiTheme="minorHAnsi"/>
                          <w:sz w:val="22"/>
                        </w:rPr>
                      </w:pPr>
                      <w:r w:rsidRPr="00BF1454">
                        <w:rPr>
                          <w:rFonts w:asciiTheme="minorHAnsi" w:hAnsiTheme="minorHAnsi" w:cs="Arial"/>
                          <w:color w:val="000000" w:themeColor="dark1"/>
                          <w:kern w:val="24"/>
                          <w:sz w:val="22"/>
                        </w:rPr>
                        <w:t xml:space="preserve">- 400 mln di altri tagli </w:t>
                      </w:r>
                    </w:p>
                  </w:txbxContent>
                </v:textbox>
              </v:shape>
            </w:pict>
          </mc:Fallback>
        </mc:AlternateContent>
      </w:r>
      <w:r w:rsidRPr="00B87946">
        <w:rPr>
          <w:rFonts w:ascii="Book Antiqua" w:hAnsi="Book Antiqua"/>
          <w:i/>
          <w:noProof/>
          <w:lang w:eastAsia="it-IT"/>
        </w:rPr>
        <mc:AlternateContent>
          <mc:Choice Requires="wps">
            <w:drawing>
              <wp:anchor distT="0" distB="0" distL="114300" distR="114300" simplePos="0" relativeHeight="251660288" behindDoc="0" locked="0" layoutInCell="1" allowOverlap="1" wp14:anchorId="6C2FB26D" wp14:editId="7CDCED4A">
                <wp:simplePos x="0" y="0"/>
                <wp:positionH relativeFrom="column">
                  <wp:posOffset>5657850</wp:posOffset>
                </wp:positionH>
                <wp:positionV relativeFrom="paragraph">
                  <wp:posOffset>2947035</wp:posOffset>
                </wp:positionV>
                <wp:extent cx="1655445" cy="1439545"/>
                <wp:effectExtent l="57150" t="38100" r="78105" b="103505"/>
                <wp:wrapNone/>
                <wp:docPr id="43" name="Callout con freccia in su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439545"/>
                        </a:xfrm>
                        <a:prstGeom prst="upArrowCallout">
                          <a:avLst>
                            <a:gd name="adj1" fmla="val 12481"/>
                            <a:gd name="adj2" fmla="val 25004"/>
                            <a:gd name="adj3" fmla="val 13241"/>
                            <a:gd name="adj4" fmla="val 7841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Tagli: 2,25 mld</w:t>
                            </w:r>
                          </w:p>
                          <w:p w:rsidR="00B87946" w:rsidRPr="008C0C37" w:rsidRDefault="00B87946" w:rsidP="00B87946">
                            <w:pPr>
                              <w:pStyle w:val="NormaleWeb"/>
                              <w:spacing w:before="0" w:beforeAutospacing="0" w:after="0" w:afterAutospacing="0"/>
                              <w:textAlignment w:val="baseline"/>
                              <w:rPr>
                                <w:sz w:val="22"/>
                              </w:rPr>
                            </w:pPr>
                            <w:r w:rsidRPr="008C0C37">
                              <w:rPr>
                                <w:rFonts w:asciiTheme="minorHAnsi" w:hAnsi="Calibri" w:cs="Arial"/>
                                <w:color w:val="000000" w:themeColor="dark1"/>
                                <w:kern w:val="24"/>
                                <w:sz w:val="22"/>
                              </w:rPr>
                              <w:t>-2,25 mld Sp. Review</w:t>
                            </w:r>
                          </w:p>
                        </w:txbxContent>
                      </wps:txbx>
                      <wps:bodyPr anchor="t"/>
                    </wps:wsp>
                  </a:graphicData>
                </a:graphic>
              </wp:anchor>
            </w:drawing>
          </mc:Choice>
          <mc:Fallback>
            <w:pict>
              <v:shape w14:anchorId="6C2FB26D" id="Callout con freccia in su 42" o:spid="_x0000_s1033" type="#_x0000_t79" style="position:absolute;left:0;text-align:left;margin-left:445.5pt;margin-top:232.05pt;width:130.35pt;height:11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XgxAIAAOMFAAAOAAAAZHJzL2Uyb0RvYy54bWysVFtv2yAUfp+0/4B4X32J3TpRnSpKk710&#10;a7Vu2jMBHLNhQEDi9N/vgJ3IXfs0LZEsDpzL953b7d2pk+jIrRNa1Ti7SjHiimom1L7GP75vP1UY&#10;OU8UI1IrXuMX7vDd8uOH294seK5bLRm3CJwot+hNjVvvzSJJHG15R9yVNlzBY6NtRzyIdp8wS3rw&#10;3skkT9PrpNeWGaspdw5u74dHvIz+m4ZT/9g0jnskawzYfPza+N2Fb7K8JYu9JaYVdIRB/gFFR4SC&#10;oBdX98QTdLDijatOUKudbvwV1V2im0ZQHjkAmyz9i81zSwyPXCA5zlzS5P6fW/r1+GSRYDUuZhgp&#10;0kGN1kRKffCIaoUayykVBAmF3AEVeUhYb9wC7J7Nkw2UnXnQ9LdDSq9bovZ8Za3uW04YwMyCfvLK&#10;IAgOTNGu/6IZhCMHr2PuTo3tgkPICjrFEr1cSsRPgAcus+uyLIoSIwpvWTGblyCEGGRxNjfW+c9c&#10;dygcanwwEdBIKgYixwfnY7XYSJmwXxlGTSeh+EciUZYXVcQOFZ3o5FOdvEzTYmygiQ6kceJnlhfv&#10;+CmmOjdVkd2MHEZkwObMYmwqthVSIqv9T+Hb2BchufHRnck4ZDTkPI3Xzu53a2kRsKnxptpU29UY&#10;Y+8Gs0H7upjP528t1rP1bLN91yJLw++tyapaVZtpEGCxP4OT0EDQHDUui8EcOUokh76L6QmqlkSS&#10;AZxUqK/xvMzLIYyW4vL2ili+zbfzaoTppmqd8LBYpOhqXA0R46iHvtwoFs+eCDmcIbxUITCPK2NM&#10;KMwAt88t69FOHuw3EoYkUkdMhM6C/QN5AAH2yYXW6xK9k6YqDf/Ii0jTkqFCs5tQhqGRR4axqS8Y&#10;ojSBF4cqzNEwj/60O8Uxjp0UZmyn2QtMGVG01QDQR+fhATZJdDZuvbCqpjKcp7t5+QcAAP//AwBQ&#10;SwMEFAAGAAgAAAAhAE79i5rgAAAADAEAAA8AAABkcnMvZG93bnJldi54bWxMj8tOwzAURPdI/IN1&#10;kdhRx1EJSYhT8RBiTUECdrexsSP8CLbTpn+Pu4LlaEYzZ7rNYg3ZyxBH7ziwVQFEusGL0SkOb69P&#10;VzWQmNAJNN5JDkcZYdOfn3XYCn9wL3K/TYrkEhdb5KBTmlpK46Clxbjyk3TZ+/LBYsoyKCoCHnK5&#10;NbQsiopaHF1e0DjJBy2H7+1sOdx//jT6Q4XxWD4+m/dFVXM5IeeXF8vdLZAkl/QXhhN+Roc+M+38&#10;7EQkhkPdsPwlcVhXawbklGDX7AbIjkPVFDXQvqP/T/S/AAAA//8DAFBLAQItABQABgAIAAAAIQC2&#10;gziS/gAAAOEBAAATAAAAAAAAAAAAAAAAAAAAAABbQ29udGVudF9UeXBlc10ueG1sUEsBAi0AFAAG&#10;AAgAAAAhADj9If/WAAAAlAEAAAsAAAAAAAAAAAAAAAAALwEAAF9yZWxzLy5yZWxzUEsBAi0AFAAG&#10;AAgAAAAhAF6SleDEAgAA4wUAAA4AAAAAAAAAAAAAAAAALgIAAGRycy9lMm9Eb2MueG1sUEsBAi0A&#10;FAAGAAgAAAAhAE79i5rgAAAADAEAAA8AAAAAAAAAAAAAAAAAHgUAAGRycy9kb3ducmV2LnhtbFBL&#10;BQYAAAAABAAEAPMAAAArBgAAAAA=&#10;" adj="4662,6104,2860,9628" fillcolor="#e8e8fa" strokecolor="#2f2f98">
                <v:fill color2="#a8a8ea" rotate="t" colors="0 #e8e8fa;42598f #c3c3ef;1 #a8a8ea" focus="100%" type="gradient"/>
                <v:shadow on="t" opacity="24903f" origin=",.5" offset="0,.55556mm"/>
                <v:textbo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Tagli: 2,25 mld</w:t>
                      </w:r>
                    </w:p>
                    <w:p w:rsidR="00B87946" w:rsidRPr="008C0C37" w:rsidRDefault="00B87946" w:rsidP="00B87946">
                      <w:pPr>
                        <w:pStyle w:val="NormaleWeb"/>
                        <w:spacing w:before="0" w:beforeAutospacing="0" w:after="0" w:afterAutospacing="0"/>
                        <w:textAlignment w:val="baseline"/>
                        <w:rPr>
                          <w:sz w:val="22"/>
                        </w:rPr>
                      </w:pPr>
                      <w:r w:rsidRPr="008C0C37">
                        <w:rPr>
                          <w:rFonts w:asciiTheme="minorHAnsi" w:hAnsi="Calibri" w:cs="Arial"/>
                          <w:color w:val="000000" w:themeColor="dark1"/>
                          <w:kern w:val="24"/>
                          <w:sz w:val="22"/>
                        </w:rPr>
                        <w:t>-2,25 mld Sp. Review</w:t>
                      </w:r>
                    </w:p>
                  </w:txbxContent>
                </v:textbox>
              </v:shape>
            </w:pict>
          </mc:Fallback>
        </mc:AlternateContent>
      </w:r>
      <w:r w:rsidRPr="00B87946">
        <w:rPr>
          <w:rFonts w:ascii="Book Antiqua" w:hAnsi="Book Antiqua"/>
          <w:i/>
          <w:noProof/>
          <w:lang w:eastAsia="it-IT"/>
        </w:rPr>
        <mc:AlternateContent>
          <mc:Choice Requires="wps">
            <w:drawing>
              <wp:anchor distT="0" distB="0" distL="114300" distR="114300" simplePos="0" relativeHeight="251668480" behindDoc="0" locked="0" layoutInCell="1" allowOverlap="1" wp14:anchorId="42882D17" wp14:editId="7D3692E9">
                <wp:simplePos x="0" y="0"/>
                <wp:positionH relativeFrom="column">
                  <wp:posOffset>7480300</wp:posOffset>
                </wp:positionH>
                <wp:positionV relativeFrom="paragraph">
                  <wp:posOffset>2919730</wp:posOffset>
                </wp:positionV>
                <wp:extent cx="1655445" cy="1466850"/>
                <wp:effectExtent l="38100" t="38100" r="78105" b="95250"/>
                <wp:wrapNone/>
                <wp:docPr id="31" name="Callout con freccia in su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466850"/>
                        </a:xfrm>
                        <a:prstGeom prst="upArrowCallout">
                          <a:avLst>
                            <a:gd name="adj1" fmla="val 12481"/>
                            <a:gd name="adj2" fmla="val 25004"/>
                            <a:gd name="adj3" fmla="val 13241"/>
                            <a:gd name="adj4" fmla="val 7841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w:t>
                            </w:r>
                            <w:r>
                              <w:rPr>
                                <w:rFonts w:asciiTheme="minorHAnsi" w:hAnsi="Calibri" w:cs="Arial"/>
                                <w:b/>
                                <w:bCs/>
                                <w:color w:val="FF0000"/>
                                <w:kern w:val="24"/>
                                <w:sz w:val="28"/>
                                <w:szCs w:val="32"/>
                              </w:rPr>
                              <w:t>0</w:t>
                            </w:r>
                            <w:r w:rsidRPr="00BF1454">
                              <w:rPr>
                                <w:rFonts w:asciiTheme="minorHAnsi" w:hAnsi="Calibri" w:cs="Arial"/>
                                <w:b/>
                                <w:bCs/>
                                <w:color w:val="FF0000"/>
                                <w:kern w:val="24"/>
                                <w:sz w:val="28"/>
                                <w:szCs w:val="32"/>
                              </w:rPr>
                              <w:t>,</w:t>
                            </w:r>
                            <w:r>
                              <w:rPr>
                                <w:rFonts w:asciiTheme="minorHAnsi" w:hAnsi="Calibri" w:cs="Arial"/>
                                <w:b/>
                                <w:bCs/>
                                <w:color w:val="FF0000"/>
                                <w:kern w:val="24"/>
                                <w:sz w:val="28"/>
                                <w:szCs w:val="32"/>
                              </w:rPr>
                              <w:t>25</w:t>
                            </w:r>
                            <w:r w:rsidRPr="00BF1454">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textAlignment w:val="baseline"/>
                              <w:rPr>
                                <w:sz w:val="22"/>
                              </w:rPr>
                            </w:pPr>
                            <w:r w:rsidRPr="008C0C37">
                              <w:rPr>
                                <w:rFonts w:asciiTheme="minorHAnsi" w:hAnsi="Calibri" w:cs="Arial"/>
                                <w:color w:val="000000" w:themeColor="dark1"/>
                                <w:kern w:val="24"/>
                                <w:sz w:val="22"/>
                              </w:rPr>
                              <w:t>-250 mln Sp. Review</w:t>
                            </w:r>
                          </w:p>
                        </w:txbxContent>
                      </wps:txbx>
                      <wps:bodyPr anchor="t"/>
                    </wps:wsp>
                  </a:graphicData>
                </a:graphic>
              </wp:anchor>
            </w:drawing>
          </mc:Choice>
          <mc:Fallback>
            <w:pict>
              <v:shape w14:anchorId="42882D17" id="Callout con freccia in su 30" o:spid="_x0000_s1034" type="#_x0000_t79" style="position:absolute;left:0;text-align:left;margin-left:589pt;margin-top:229.9pt;width:130.35pt;height:1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nsxwIAAOMFAAAOAAAAZHJzL2Uyb0RvYy54bWysVFtv2jAUfp+0/2D5fc2FQEPUUCEKe9ml&#10;Wjft2TgO8ebYkW0I/fc7PgkoXfs0DaTI9rl937nd3Z9bRU7COml0SZObmBKhuamkPpT0x/fdh5wS&#10;55mumDJalPRZOHq/ev/uru8KkZrGqEpYAk60K/qupI33XRFFjjeiZe7GdEKDsDa2ZR6u9hBVlvXg&#10;vVVRGseLqDe26qzhwjl4fRiEdIX+61pw/7WunfBElRSwefxa/O7DN1rdseJgWddIPsJg/4CiZVJD&#10;0KurB+YZOVr5ylUruTXO1P6GmzYydS25QA7AJon/YvPUsE4gF0iO665pcv/PLf9yerREViWdJZRo&#10;1kKNNkwpc/SEG01qKziXjEhN3JHMMGF95wqwe+oebaDsuk+G/3ZEm03D9EGsrTV9I1gFMJOQ4OiF&#10;Qbg4MCX7/rOpIBw7eoO5O9e2DQ4hK+SMJXq+lkicAQ88Jov5PMvmlHCQJdlikc8RU8SKi3lnnf8o&#10;TEvCoaTHDgGNpDAQO31yHqtVjZRZ9Qvo162C4p+YIkma5YgdKjrRSac66TyOs7GBJjqzqU4yS7M3&#10;/GRTnds8S24xT6wYkQGbC4uxqaqdVIpY439K32BfhOSi0F3IONIZyHmMz84e9htlCbAp6Tbf5rv1&#10;GOPgBrNBe5Etl8vXFpvZZrbdvWmRxOH32mSdr/PtNAiwOFzAKWggaI6SzrPBnDjOlIC+w/QEVcuQ&#10;ZACnNOlLupyn8yGMUfIqe0Es3aW7ZT7CdFO1VnpYLEq2Jc2HiDjqoS+3usKzZ1INZwivdAgscGWM&#10;CYUZEPapqXqyV0f7jQFYBE9JJUNnwf6BPMAF9smV1ssSvZGmPA5/5MVU17ChQrPbUIYwLDBQQ+nw&#10;fMWAtwk8HKowR2HVucKf92ccY0xGeNmb6hmmjGneGADo0XkQwCZBZ+PWC6tqeofzdDev/gAAAP//&#10;AwBQSwMEFAAGAAgAAAAhAPQj3rrkAAAADQEAAA8AAABkcnMvZG93bnJldi54bWxMj0FPwkAQhe8m&#10;/ofNmHgxsK0ilNotUSImejAIxnhcumPbtDtbuwvUf+9w0uPLvHzzvWwx2FYcsPe1IwXxOAKBVDhT&#10;U6ngfbsaJSB80GR06wgV/KCHRX5+lunUuCO94WETSsEQ8qlWUIXQpVL6okKr/dh1SHz7cr3VgWNf&#10;StPrI8NtK6+jaCqtrok/VLrDZYVFs9lbpqy/n7fNKjxS/Bk/NB+vV0/LF1Tq8mK4vwMRcAh/ZTjp&#10;szrk7LRzezJetJzjWcJjgoLJ7ZxHnCqTm2QGYqdgOo8SkHkm/6/IfwEAAP//AwBQSwECLQAUAAYA&#10;CAAAACEAtoM4kv4AAADhAQAAEwAAAAAAAAAAAAAAAAAAAAAAW0NvbnRlbnRfVHlwZXNdLnhtbFBL&#10;AQItABQABgAIAAAAIQA4/SH/1gAAAJQBAAALAAAAAAAAAAAAAAAAAC8BAABfcmVscy8ucmVsc1BL&#10;AQItABQABgAIAAAAIQBUwGnsxwIAAOMFAAAOAAAAAAAAAAAAAAAAAC4CAABkcnMvZTJvRG9jLnht&#10;bFBLAQItABQABgAIAAAAIQD0I9665AAAAA0BAAAPAAAAAAAAAAAAAAAAACEFAABkcnMvZG93bnJl&#10;di54bWxQSwUGAAAAAAQABADzAAAAMgYAAAAA&#10;" adj="4662,6014,2860,9606" fillcolor="#e8e8fa" strokecolor="#2f2f98">
                <v:fill color2="#a8a8ea" rotate="t" colors="0 #e8e8fa;42598f #c3c3ef;1 #a8a8ea" focus="100%" type="gradient"/>
                <v:shadow on="t" opacity="24903f" origin=",.5" offset="0,.55556mm"/>
                <v:textbo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w:t>
                      </w:r>
                      <w:r>
                        <w:rPr>
                          <w:rFonts w:asciiTheme="minorHAnsi" w:hAnsi="Calibri" w:cs="Arial"/>
                          <w:b/>
                          <w:bCs/>
                          <w:color w:val="FF0000"/>
                          <w:kern w:val="24"/>
                          <w:sz w:val="28"/>
                          <w:szCs w:val="32"/>
                        </w:rPr>
                        <w:t>0</w:t>
                      </w:r>
                      <w:r w:rsidRPr="00BF1454">
                        <w:rPr>
                          <w:rFonts w:asciiTheme="minorHAnsi" w:hAnsi="Calibri" w:cs="Arial"/>
                          <w:b/>
                          <w:bCs/>
                          <w:color w:val="FF0000"/>
                          <w:kern w:val="24"/>
                          <w:sz w:val="28"/>
                          <w:szCs w:val="32"/>
                        </w:rPr>
                        <w:t>,</w:t>
                      </w:r>
                      <w:r>
                        <w:rPr>
                          <w:rFonts w:asciiTheme="minorHAnsi" w:hAnsi="Calibri" w:cs="Arial"/>
                          <w:b/>
                          <w:bCs/>
                          <w:color w:val="FF0000"/>
                          <w:kern w:val="24"/>
                          <w:sz w:val="28"/>
                          <w:szCs w:val="32"/>
                        </w:rPr>
                        <w:t>25</w:t>
                      </w:r>
                      <w:r w:rsidRPr="00BF1454">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textAlignment w:val="baseline"/>
                        <w:rPr>
                          <w:sz w:val="22"/>
                        </w:rPr>
                      </w:pPr>
                      <w:r w:rsidRPr="008C0C37">
                        <w:rPr>
                          <w:rFonts w:asciiTheme="minorHAnsi" w:hAnsi="Calibri" w:cs="Arial"/>
                          <w:color w:val="000000" w:themeColor="dark1"/>
                          <w:kern w:val="24"/>
                          <w:sz w:val="22"/>
                        </w:rPr>
                        <w:t>-250 mln Sp. Review</w:t>
                      </w:r>
                    </w:p>
                  </w:txbxContent>
                </v:textbox>
              </v:shape>
            </w:pict>
          </mc:Fallback>
        </mc:AlternateContent>
      </w:r>
      <w:r w:rsidRPr="00B87946">
        <w:rPr>
          <w:rFonts w:ascii="Book Antiqua" w:hAnsi="Book Antiqua"/>
          <w:i/>
          <w:noProof/>
          <w:lang w:eastAsia="it-IT"/>
        </w:rPr>
        <w:drawing>
          <wp:anchor distT="0" distB="0" distL="114300" distR="114300" simplePos="0" relativeHeight="251669504" behindDoc="0" locked="0" layoutInCell="1" allowOverlap="1" wp14:anchorId="31AEE065" wp14:editId="1CE33DF6">
            <wp:simplePos x="0" y="0"/>
            <wp:positionH relativeFrom="column">
              <wp:posOffset>655955</wp:posOffset>
            </wp:positionH>
            <wp:positionV relativeFrom="paragraph">
              <wp:posOffset>2198370</wp:posOffset>
            </wp:positionV>
            <wp:extent cx="8097926" cy="618513"/>
            <wp:effectExtent l="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7926" cy="618513"/>
                    </a:xfrm>
                    <a:prstGeom prst="rect">
                      <a:avLst/>
                    </a:prstGeom>
                    <a:noFill/>
                    <a:ln>
                      <a:noFill/>
                    </a:ln>
                    <a:effectLst/>
                    <a:extLst/>
                  </pic:spPr>
                </pic:pic>
              </a:graphicData>
            </a:graphic>
            <wp14:sizeRelH relativeFrom="margin">
              <wp14:pctWidth>0</wp14:pctWidth>
            </wp14:sizeRelH>
          </wp:anchor>
        </w:drawing>
      </w:r>
    </w:p>
    <w:p w:rsidR="00B87946" w:rsidRPr="00B87946" w:rsidRDefault="00B87946" w:rsidP="006A6089">
      <w:pPr>
        <w:spacing w:before="60" w:after="60" w:line="420" w:lineRule="atLeast"/>
        <w:jc w:val="both"/>
        <w:outlineLvl w:val="0"/>
        <w:rPr>
          <w:rFonts w:ascii="Book Antiqua" w:eastAsia="Arial Unicode MS" w:hAnsi="Book Antiqua"/>
          <w:b/>
          <w:color w:val="000000"/>
          <w:sz w:val="22"/>
          <w:szCs w:val="22"/>
          <w:u w:val="single"/>
        </w:rPr>
      </w:pPr>
    </w:p>
    <w:p w:rsidR="00B87946" w:rsidRPr="00B87946" w:rsidRDefault="00B87946" w:rsidP="006A6089">
      <w:pPr>
        <w:spacing w:before="60" w:after="60" w:line="420" w:lineRule="atLeast"/>
        <w:jc w:val="both"/>
        <w:outlineLvl w:val="0"/>
        <w:rPr>
          <w:rFonts w:ascii="Book Antiqua" w:eastAsia="Arial Unicode MS" w:hAnsi="Book Antiqua"/>
          <w:b/>
          <w:color w:val="000000"/>
          <w:sz w:val="22"/>
          <w:szCs w:val="22"/>
          <w:u w:val="single"/>
        </w:rPr>
      </w:pPr>
    </w:p>
    <w:p w:rsidR="00B87946"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r w:rsidRPr="00B87946">
        <w:rPr>
          <w:rFonts w:ascii="Book Antiqua" w:hAnsi="Book Antiqua"/>
          <w:i/>
          <w:noProof/>
          <w:lang w:eastAsia="it-IT"/>
        </w:rPr>
        <mc:AlternateContent>
          <mc:Choice Requires="wps">
            <w:drawing>
              <wp:anchor distT="0" distB="0" distL="114300" distR="114300" simplePos="0" relativeHeight="251670528" behindDoc="0" locked="0" layoutInCell="1" allowOverlap="1" wp14:anchorId="5D6E6C91" wp14:editId="7047EEB5">
                <wp:simplePos x="0" y="0"/>
                <wp:positionH relativeFrom="column">
                  <wp:posOffset>232410</wp:posOffset>
                </wp:positionH>
                <wp:positionV relativeFrom="paragraph">
                  <wp:posOffset>3707765</wp:posOffset>
                </wp:positionV>
                <wp:extent cx="7419340" cy="489585"/>
                <wp:effectExtent l="0" t="0" r="0" b="0"/>
                <wp:wrapNone/>
                <wp:docPr id="15" name="CasellaDiTesto 14"/>
                <wp:cNvGraphicFramePr/>
                <a:graphic xmlns:a="http://schemas.openxmlformats.org/drawingml/2006/main">
                  <a:graphicData uri="http://schemas.microsoft.com/office/word/2010/wordprocessingShape">
                    <wps:wsp>
                      <wps:cNvSpPr txBox="1"/>
                      <wps:spPr>
                        <a:xfrm>
                          <a:off x="0" y="0"/>
                          <a:ext cx="7419340" cy="489585"/>
                        </a:xfrm>
                        <a:prstGeom prst="rect">
                          <a:avLst/>
                        </a:prstGeom>
                        <a:noFill/>
                      </wps:spPr>
                      <wps:txbx>
                        <w:txbxContent>
                          <w:p w:rsidR="00B87946" w:rsidRDefault="00B87946" w:rsidP="00B87946">
                            <w:pPr>
                              <w:pStyle w:val="NormaleWeb"/>
                              <w:spacing w:before="0" w:beforeAutospacing="0" w:after="0" w:afterAutospacing="0"/>
                              <w:textAlignment w:val="baseline"/>
                              <w:rPr>
                                <w:rFonts w:ascii="Book Antiqua" w:hAnsi="Book Antiqua" w:cs="Arial"/>
                                <w:i/>
                                <w:iCs/>
                                <w:color w:val="000000" w:themeColor="text1"/>
                                <w:kern w:val="24"/>
                                <w:sz w:val="28"/>
                                <w:szCs w:val="28"/>
                              </w:rPr>
                            </w:pPr>
                            <w:r w:rsidRPr="00B87946">
                              <w:rPr>
                                <w:rFonts w:ascii="Book Antiqua" w:hAnsi="Book Antiqua" w:cs="Arial"/>
                                <w:i/>
                                <w:iCs/>
                                <w:color w:val="000000" w:themeColor="text1"/>
                                <w:kern w:val="24"/>
                                <w:sz w:val="28"/>
                                <w:szCs w:val="28"/>
                              </w:rPr>
                              <w:t>*Il perimetro è costituito da ICI, IMU, Add. IRPEF, Add. Energia elettrica e trasferimenti dallo Stato</w:t>
                            </w:r>
                          </w:p>
                          <w:p w:rsidR="005C5501" w:rsidRPr="005C5501" w:rsidRDefault="005C5501" w:rsidP="005C5501">
                            <w:pPr>
                              <w:pStyle w:val="NormaleWeb"/>
                              <w:spacing w:before="0" w:beforeAutospacing="0" w:after="0" w:afterAutospacing="0"/>
                              <w:textAlignment w:val="baseline"/>
                              <w:rPr>
                                <w:rFonts w:ascii="Book Antiqua" w:hAnsi="Book Antiqua"/>
                              </w:rPr>
                            </w:pPr>
                            <w:r>
                              <w:rPr>
                                <w:rFonts w:ascii="Book Antiqua" w:hAnsi="Book Antiqua"/>
                                <w:i/>
                                <w:iCs/>
                              </w:rPr>
                              <w:t>fonte: elaborazioni IFEL</w:t>
                            </w:r>
                          </w:p>
                        </w:txbxContent>
                      </wps:txbx>
                      <wps:bodyPr wrap="none" rtlCol="0">
                        <a:spAutoFit/>
                      </wps:bodyPr>
                    </wps:wsp>
                  </a:graphicData>
                </a:graphic>
              </wp:anchor>
            </w:drawing>
          </mc:Choice>
          <mc:Fallback>
            <w:pict>
              <v:shapetype w14:anchorId="5D6E6C91" id="_x0000_t202" coordsize="21600,21600" o:spt="202" path="m,l,21600r21600,l21600,xe">
                <v:stroke joinstyle="miter"/>
                <v:path gradientshapeok="t" o:connecttype="rect"/>
              </v:shapetype>
              <v:shape id="CasellaDiTesto 14" o:spid="_x0000_s1035" type="#_x0000_t202" style="position:absolute;left:0;text-align:left;margin-left:18.3pt;margin-top:291.95pt;width:584.2pt;height:38.5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YnnAEAABsDAAAOAAAAZHJzL2Uyb0RvYy54bWysUstOIzEQvCPxD5bvZBI2gWSUCVqI4IJ2&#10;V4L9AMdjZyzZbsttMpO/p+08WMEN7aVt96Nc1d3Lu8FZtlMRDfiGT0ZjzpSX0Bq/bfjf18erOWeY&#10;hG+FBa8avlfI71aXF8s+1OoaOrCtioxAPNZ9aHiXUqirCmWnnMARBOUpqCE6kegZt1UbRU/ozlbX&#10;4/FN1UNsQwSpEMm7PgT5quBrrWT6rTWqxGzDiVsqNha7ybZaLUW9jSJ0Rh5piG+wcMJ4+vQMtRZJ&#10;sLdovkA5IyMg6DSS4CrQ2khVNJCayfiTmpdOBFW0UHMwnNuE/w9W/tr9icy0NLsZZ144mtGDQGWt&#10;WJtXhQnYZJq71AesKfklUHoa7mGgipMfyZnFDzq6fJIsRnHq9/7cYzUkJsl5O50sfkwpJCk2nS9m&#10;81mGqT6qQ8T0pMCxfGl4pBmW1ordM6ZD6iklf+bh0Vib/ZnigUq+pWEzFGGLE80NtHti39O0G+5p&#10;HTmLyT5AWY0MheHnWyK48kvGOFQcoWkChedxW/KI/32XrI+dXr0DAAD//wMAUEsDBBQABgAIAAAA&#10;IQDOI4jg3gAAAAsBAAAPAAAAZHJzL2Rvd25yZXYueG1sTI9BTsMwEEX3SNzBGiR21E5KrDTNpEIF&#10;1kDhAG5skjTxOIrdNnB63BVdjubp//fLzWwHdjKT7xwhJAsBzFDtdEcNwtfn60MOzAdFWg2ODMKP&#10;8bCpbm9KVWh3pg9z2oWGxRDyhUJoQxgLzn3dGqv8wo2G4u/bTVaFeE4N15M6x3A78FQIya3qKDa0&#10;ajTb1tT97mgRcmHf+n6Vvnv7+Jtk7fbZvYwHxPu7+WkNLJg5/MNw0Y/qUEWnvTuS9mxAWEoZSYQs&#10;X66AXYBUZHHdHkHKRACvSn69ofoDAAD//wMAUEsBAi0AFAAGAAgAAAAhALaDOJL+AAAA4QEAABMA&#10;AAAAAAAAAAAAAAAAAAAAAFtDb250ZW50X1R5cGVzXS54bWxQSwECLQAUAAYACAAAACEAOP0h/9YA&#10;AACUAQAACwAAAAAAAAAAAAAAAAAvAQAAX3JlbHMvLnJlbHNQSwECLQAUAAYACAAAACEALbtmJ5wB&#10;AAAbAwAADgAAAAAAAAAAAAAAAAAuAgAAZHJzL2Uyb0RvYy54bWxQSwECLQAUAAYACAAAACEAziOI&#10;4N4AAAALAQAADwAAAAAAAAAAAAAAAAD2AwAAZHJzL2Rvd25yZXYueG1sUEsFBgAAAAAEAAQA8wAA&#10;AAEFAAAAAA==&#10;" filled="f" stroked="f">
                <v:textbox style="mso-fit-shape-to-text:t">
                  <w:txbxContent>
                    <w:p w:rsidR="00B87946" w:rsidRDefault="00B87946" w:rsidP="00B87946">
                      <w:pPr>
                        <w:pStyle w:val="NormaleWeb"/>
                        <w:spacing w:before="0" w:beforeAutospacing="0" w:after="0" w:afterAutospacing="0"/>
                        <w:textAlignment w:val="baseline"/>
                        <w:rPr>
                          <w:rFonts w:ascii="Book Antiqua" w:hAnsi="Book Antiqua" w:cs="Arial"/>
                          <w:i/>
                          <w:iCs/>
                          <w:color w:val="000000" w:themeColor="text1"/>
                          <w:kern w:val="24"/>
                          <w:sz w:val="28"/>
                          <w:szCs w:val="28"/>
                        </w:rPr>
                      </w:pPr>
                      <w:r w:rsidRPr="00B87946">
                        <w:rPr>
                          <w:rFonts w:ascii="Book Antiqua" w:hAnsi="Book Antiqua" w:cs="Arial"/>
                          <w:i/>
                          <w:iCs/>
                          <w:color w:val="000000" w:themeColor="text1"/>
                          <w:kern w:val="24"/>
                          <w:sz w:val="28"/>
                          <w:szCs w:val="28"/>
                        </w:rPr>
                        <w:t>*Il perimetro è costituito da ICI, IMU, Add. IRPEF, Add. Energia elettrica e trasferimenti dallo Stato</w:t>
                      </w:r>
                    </w:p>
                    <w:p w:rsidR="005C5501" w:rsidRPr="005C5501" w:rsidRDefault="005C5501" w:rsidP="005C5501">
                      <w:pPr>
                        <w:pStyle w:val="NormaleWeb"/>
                        <w:spacing w:before="0" w:beforeAutospacing="0" w:after="0" w:afterAutospacing="0"/>
                        <w:textAlignment w:val="baseline"/>
                        <w:rPr>
                          <w:rFonts w:ascii="Book Antiqua" w:hAnsi="Book Antiqua"/>
                        </w:rPr>
                      </w:pPr>
                      <w:r>
                        <w:rPr>
                          <w:rFonts w:ascii="Book Antiqua" w:hAnsi="Book Antiqua"/>
                          <w:i/>
                          <w:iCs/>
                        </w:rPr>
                        <w:t>fonte: elaborazioni IFEL</w:t>
                      </w:r>
                    </w:p>
                  </w:txbxContent>
                </v:textbox>
              </v:shape>
            </w:pict>
          </mc:Fallback>
        </mc:AlternateContent>
      </w:r>
      <w:r w:rsidR="00DF2A77" w:rsidRPr="00B87946">
        <w:rPr>
          <w:rFonts w:ascii="Book Antiqua" w:hAnsi="Book Antiqua"/>
          <w:i/>
          <w:noProof/>
          <w:lang w:eastAsia="it-IT"/>
        </w:rPr>
        <mc:AlternateContent>
          <mc:Choice Requires="wps">
            <w:drawing>
              <wp:anchor distT="0" distB="0" distL="114300" distR="114300" simplePos="0" relativeHeight="251659264" behindDoc="0" locked="0" layoutInCell="1" allowOverlap="1" wp14:anchorId="129D9582" wp14:editId="427D6A87">
                <wp:simplePos x="0" y="0"/>
                <wp:positionH relativeFrom="column">
                  <wp:posOffset>3858895</wp:posOffset>
                </wp:positionH>
                <wp:positionV relativeFrom="paragraph">
                  <wp:posOffset>2146300</wp:posOffset>
                </wp:positionV>
                <wp:extent cx="1655445" cy="1477645"/>
                <wp:effectExtent l="57150" t="38100" r="78105" b="103505"/>
                <wp:wrapNone/>
                <wp:docPr id="33" name="Callout con freccia in su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477645"/>
                        </a:xfrm>
                        <a:prstGeom prst="upArrowCallout">
                          <a:avLst>
                            <a:gd name="adj1" fmla="val 12474"/>
                            <a:gd name="adj2" fmla="val 25003"/>
                            <a:gd name="adj3" fmla="val 13241"/>
                            <a:gd name="adj4" fmla="val 78417"/>
                          </a:avLst>
                        </a:prstGeom>
                        <a:gradFill rotWithShape="1">
                          <a:gsLst>
                            <a:gs pos="0">
                              <a:srgbClr val="E8E8FA"/>
                            </a:gs>
                            <a:gs pos="64999">
                              <a:srgbClr val="C3C3EF"/>
                            </a:gs>
                            <a:gs pos="100000">
                              <a:srgbClr val="A8A8EA"/>
                            </a:gs>
                          </a:gsLst>
                          <a:lin ang="5400000" scaled="1"/>
                        </a:gradFill>
                        <a:ln w="9525">
                          <a:solidFill>
                            <a:srgbClr val="2F2F98"/>
                          </a:solidFill>
                          <a:miter lim="800000"/>
                          <a:headEnd/>
                          <a:tailEnd/>
                        </a:ln>
                        <a:effectLst>
                          <a:outerShdw blurRad="40000" dist="20000" dir="5400000" rotWithShape="0">
                            <a:srgbClr val="808080">
                              <a:alpha val="37999"/>
                            </a:srgbClr>
                          </a:outerShdw>
                        </a:effectLst>
                      </wps:spPr>
                      <wps:txb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w:t>
                            </w:r>
                            <w:r>
                              <w:rPr>
                                <w:rFonts w:asciiTheme="minorHAnsi" w:hAnsi="Calibri" w:cs="Arial"/>
                                <w:b/>
                                <w:bCs/>
                                <w:color w:val="FF0000"/>
                                <w:kern w:val="24"/>
                                <w:sz w:val="28"/>
                                <w:szCs w:val="32"/>
                              </w:rPr>
                              <w:t>3</w:t>
                            </w:r>
                            <w:r w:rsidRPr="00BF1454">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ind w:left="173"/>
                              <w:textAlignment w:val="baseline"/>
                              <w:rPr>
                                <w:sz w:val="22"/>
                              </w:rPr>
                            </w:pPr>
                            <w:r w:rsidRPr="008C0C37">
                              <w:rPr>
                                <w:rFonts w:asciiTheme="minorHAnsi" w:hAnsi="Calibri" w:cs="Arial"/>
                                <w:color w:val="000000" w:themeColor="dark1"/>
                                <w:kern w:val="24"/>
                                <w:sz w:val="22"/>
                              </w:rPr>
                              <w:t xml:space="preserve">-1 mld dl 78/2010 </w:t>
                            </w:r>
                          </w:p>
                          <w:p w:rsidR="00B87946" w:rsidRPr="008C0C37" w:rsidRDefault="00B87946" w:rsidP="00B87946">
                            <w:pPr>
                              <w:pStyle w:val="NormaleWeb"/>
                              <w:spacing w:before="0" w:beforeAutospacing="0" w:after="0" w:afterAutospacing="0"/>
                              <w:ind w:left="173"/>
                              <w:textAlignment w:val="baseline"/>
                              <w:rPr>
                                <w:sz w:val="22"/>
                              </w:rPr>
                            </w:pPr>
                            <w:r w:rsidRPr="008C0C37">
                              <w:rPr>
                                <w:rFonts w:asciiTheme="minorHAnsi" w:hAnsi="Calibri" w:cs="Arial"/>
                                <w:color w:val="000000" w:themeColor="dark1"/>
                                <w:kern w:val="24"/>
                                <w:sz w:val="22"/>
                              </w:rPr>
                              <w:t xml:space="preserve">-1,5 mld dl 201/2011 </w:t>
                            </w:r>
                          </w:p>
                          <w:p w:rsidR="00B87946" w:rsidRPr="00B87946" w:rsidRDefault="00B87946" w:rsidP="00B87946">
                            <w:pPr>
                              <w:pStyle w:val="NormaleWeb"/>
                              <w:spacing w:before="0" w:beforeAutospacing="0" w:after="0" w:afterAutospacing="0"/>
                              <w:ind w:left="173"/>
                              <w:textAlignment w:val="baseline"/>
                              <w:rPr>
                                <w:rFonts w:asciiTheme="minorHAnsi" w:hAnsi="Calibri" w:cs="Arial"/>
                                <w:color w:val="000000" w:themeColor="dark1"/>
                                <w:kern w:val="24"/>
                                <w:sz w:val="22"/>
                                <w:lang w:val="en-US"/>
                              </w:rPr>
                            </w:pPr>
                            <w:r w:rsidRPr="00B87946">
                              <w:rPr>
                                <w:rFonts w:asciiTheme="minorHAnsi" w:hAnsi="Calibri" w:cs="Arial"/>
                                <w:color w:val="000000" w:themeColor="dark1"/>
                                <w:kern w:val="24"/>
                                <w:sz w:val="22"/>
                                <w:lang w:val="en-US"/>
                              </w:rPr>
                              <w:t>-90 mln Sp. Review</w:t>
                            </w:r>
                          </w:p>
                          <w:p w:rsidR="00B87946" w:rsidRPr="00B87946" w:rsidRDefault="00B87946" w:rsidP="00B87946">
                            <w:pPr>
                              <w:pStyle w:val="NormaleWeb"/>
                              <w:spacing w:before="0" w:beforeAutospacing="0" w:after="0" w:afterAutospacing="0"/>
                              <w:ind w:left="173"/>
                              <w:textAlignment w:val="baseline"/>
                              <w:rPr>
                                <w:sz w:val="22"/>
                                <w:lang w:val="en-US"/>
                              </w:rPr>
                            </w:pPr>
                            <w:r w:rsidRPr="00B87946">
                              <w:rPr>
                                <w:rFonts w:asciiTheme="minorHAnsi" w:hAnsi="Calibri" w:cs="Arial"/>
                                <w:kern w:val="24"/>
                                <w:sz w:val="22"/>
                                <w:lang w:val="en-US"/>
                              </w:rPr>
                              <w:t>-464 mln errate stime ICI</w:t>
                            </w:r>
                          </w:p>
                          <w:p w:rsidR="00B87946" w:rsidRPr="00B87946" w:rsidRDefault="00B87946" w:rsidP="00B87946">
                            <w:pPr>
                              <w:rPr>
                                <w:lang w:val="en-US"/>
                              </w:rPr>
                            </w:pPr>
                          </w:p>
                        </w:txbxContent>
                      </wps:txbx>
                      <wps:bodyPr anchor="t">
                        <a:noAutofit/>
                      </wps:bodyPr>
                    </wps:wsp>
                  </a:graphicData>
                </a:graphic>
                <wp14:sizeRelV relativeFrom="margin">
                  <wp14:pctHeight>0</wp14:pctHeight>
                </wp14:sizeRelV>
              </wp:anchor>
            </w:drawing>
          </mc:Choice>
          <mc:Fallback>
            <w:pict>
              <v:shape w14:anchorId="129D9582" id="Callout con freccia in su 32" o:spid="_x0000_s1036" type="#_x0000_t79" style="position:absolute;left:0;text-align:left;margin-left:303.85pt;margin-top:169pt;width:130.35pt;height:1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wu0AIAAP4FAAAOAAAAZHJzL2Uyb0RvYy54bWysVFtv2jAUfp+0/2D5fc0VCKihQhT20q3V&#10;umnPxnaIN8eObEPov9+xE2g6+jQNpMjHPpfvO7fbu1Mj0ZEbK7QqcXITY8QV1UyofYl/fN9+KjCy&#10;jihGpFa8xC/c4rvlxw+3Xbvgqa61ZNwgcKLsomtLXDvXLqLI0po3xN7olit4rLRpiAPR7CNmSAfe&#10;GxmlcTyNOm1YazTl1sLtff+Il8F/VXHqHqvKcodkiQGbC18Tvjv/jZa3ZLE3pK0FHWCQf0DREKEg&#10;6MXVPXEEHYy4ctUIarTVlbuhuol0VQnKAwdgk8R/sXmuScsDF0iObS9psv/PLf16fDJIsBJnGUaK&#10;NFCjNZFSHxyiWqHKcEoFQUIhe0BZ6hPWtXYBds/tk/GUbfug6W+LlF7XRO35yhjd1ZwwgJl4/eiN&#10;gRcsmKJd90UzCEcOTofcnSrTeIeQFXQKJXq5lIifAA9cJtPJJM8nGFF4S/LZbAqCj0EWZ/PWWPeZ&#10;6wb5Q4kPbQA0kAqByPHBulAtNlAm7FeCUdVIKP6RSJSk+SwfmmOkk4510kkcZ9c6kMaRnyzNQw6g&#10;M0Z+8rHOrMiT2cBhQAZsziyGpmJbISUy2v0Urg594ZMbHu2ZjEWthpzH4dqa/W4tDQI2Jd4Um2K7&#10;GmLsbW/Wa0/z+Xx+bbHO1tlm+65FEvvftcmqWBWbcRBgsT+Dk9BA0BwlnuS9ObKUSA5917dImJxA&#10;0oOTCnUlnk/SSR9GS3F5e0Ms3abbeTHAtGO1RjhYLFI0JS76iGHUfV9uFAtnR4Tsz4BUKh+Yh5Ux&#10;JBRmgJvnmnVoJw/mGwGwATxGTPjOgv0DeQAB9smF1tsSvZOmIvb/wIvItiZ9hbKZL0PfyAPD0NQX&#10;DEEawQtD5eeon0d32p3CGCdhp/kh22n2AmNGFK01IHQhpNIrGLdKOB/qVWsQYMmEOMNC9FtsLAet&#10;17W9/AMAAP//AwBQSwMEFAAGAAgAAAAhAGwDnQHeAAAACwEAAA8AAABkcnMvZG93bnJldi54bWxM&#10;j8tOwzAQRfdI/IM1SOyoDYU4SjOpeIglEgQktk7sJhHxOLLdNPl7zIouR3N077nlfrEjm40PgyOE&#10;240AZqh1eqAO4evz9SYHFqIirUZHBmE1AfbV5UWpCu1O9GHmOnYshVAoFEIf41RwHtreWBU2bjKU&#10;fgfnrYrp9B3XXp1SuB35nRAZt2qg1NCryTz3pv2pjxahW7O3qRHvks/u2y+10+vLk0a8vloed8Ci&#10;WeI/DH/6SR2q5NS4I+nARoRMSJlQhO02T6MSkWf5PbAG4UEKCbwq+fmG6hcAAP//AwBQSwECLQAU&#10;AAYACAAAACEAtoM4kv4AAADhAQAAEwAAAAAAAAAAAAAAAAAAAAAAW0NvbnRlbnRfVHlwZXNdLnht&#10;bFBLAQItABQABgAIAAAAIQA4/SH/1gAAAJQBAAALAAAAAAAAAAAAAAAAAC8BAABfcmVscy8ucmVs&#10;c1BLAQItABQABgAIAAAAIQAXkuwu0AIAAP4FAAAOAAAAAAAAAAAAAAAAAC4CAABkcnMvZTJvRG9j&#10;LnhtbFBLAQItABQABgAIAAAAIQBsA50B3gAAAAsBAAAPAAAAAAAAAAAAAAAAACoFAABkcnMvZG93&#10;bnJldi54bWxQSwUGAAAAAAQABADzAAAANQYAAAAA&#10;" adj="4662,5979,2860,9598" fillcolor="#e8e8fa" strokecolor="#2f2f98">
                <v:fill color2="#a8a8ea" rotate="t" colors="0 #e8e8fa;42598f #c3c3ef;1 #a8a8ea" focus="100%" type="gradient"/>
                <v:shadow on="t" opacity="24903f" origin=",.5" offset="0,.55556mm"/>
                <v:textbox>
                  <w:txbxContent>
                    <w:p w:rsidR="00B87946" w:rsidRPr="00BF1454" w:rsidRDefault="00B87946" w:rsidP="00B87946">
                      <w:pPr>
                        <w:pStyle w:val="NormaleWeb"/>
                        <w:spacing w:before="0" w:beforeAutospacing="0" w:after="0" w:afterAutospacing="0"/>
                        <w:jc w:val="center"/>
                        <w:textAlignment w:val="baseline"/>
                        <w:rPr>
                          <w:rFonts w:asciiTheme="minorHAnsi" w:hAnsi="Calibri" w:cs="Arial"/>
                          <w:b/>
                          <w:bCs/>
                          <w:color w:val="FF0000"/>
                          <w:kern w:val="24"/>
                          <w:sz w:val="28"/>
                          <w:szCs w:val="32"/>
                        </w:rPr>
                      </w:pPr>
                      <w:r w:rsidRPr="00BF1454">
                        <w:rPr>
                          <w:rFonts w:asciiTheme="minorHAnsi" w:hAnsi="Calibri" w:cs="Arial"/>
                          <w:b/>
                          <w:bCs/>
                          <w:color w:val="FF0000"/>
                          <w:kern w:val="24"/>
                          <w:sz w:val="28"/>
                          <w:szCs w:val="32"/>
                        </w:rPr>
                        <w:t xml:space="preserve">Tagli: </w:t>
                      </w:r>
                      <w:r>
                        <w:rPr>
                          <w:rFonts w:asciiTheme="minorHAnsi" w:hAnsi="Calibri" w:cs="Arial"/>
                          <w:b/>
                          <w:bCs/>
                          <w:color w:val="FF0000"/>
                          <w:kern w:val="24"/>
                          <w:sz w:val="28"/>
                          <w:szCs w:val="32"/>
                        </w:rPr>
                        <w:t>3</w:t>
                      </w:r>
                      <w:r w:rsidRPr="00BF1454">
                        <w:rPr>
                          <w:rFonts w:asciiTheme="minorHAnsi" w:hAnsi="Calibri" w:cs="Arial"/>
                          <w:b/>
                          <w:bCs/>
                          <w:color w:val="FF0000"/>
                          <w:kern w:val="24"/>
                          <w:sz w:val="28"/>
                          <w:szCs w:val="32"/>
                        </w:rPr>
                        <w:t xml:space="preserve"> mld</w:t>
                      </w:r>
                    </w:p>
                    <w:p w:rsidR="00B87946" w:rsidRPr="008C0C37" w:rsidRDefault="00B87946" w:rsidP="00B87946">
                      <w:pPr>
                        <w:pStyle w:val="NormaleWeb"/>
                        <w:spacing w:before="0" w:beforeAutospacing="0" w:after="0" w:afterAutospacing="0"/>
                        <w:ind w:left="173"/>
                        <w:textAlignment w:val="baseline"/>
                        <w:rPr>
                          <w:sz w:val="22"/>
                        </w:rPr>
                      </w:pPr>
                      <w:r w:rsidRPr="008C0C37">
                        <w:rPr>
                          <w:rFonts w:asciiTheme="minorHAnsi" w:hAnsi="Calibri" w:cs="Arial"/>
                          <w:color w:val="000000" w:themeColor="dark1"/>
                          <w:kern w:val="24"/>
                          <w:sz w:val="22"/>
                        </w:rPr>
                        <w:t xml:space="preserve">-1 mld dl 78/2010 </w:t>
                      </w:r>
                    </w:p>
                    <w:p w:rsidR="00B87946" w:rsidRPr="008C0C37" w:rsidRDefault="00B87946" w:rsidP="00B87946">
                      <w:pPr>
                        <w:pStyle w:val="NormaleWeb"/>
                        <w:spacing w:before="0" w:beforeAutospacing="0" w:after="0" w:afterAutospacing="0"/>
                        <w:ind w:left="173"/>
                        <w:textAlignment w:val="baseline"/>
                        <w:rPr>
                          <w:sz w:val="22"/>
                        </w:rPr>
                      </w:pPr>
                      <w:r w:rsidRPr="008C0C37">
                        <w:rPr>
                          <w:rFonts w:asciiTheme="minorHAnsi" w:hAnsi="Calibri" w:cs="Arial"/>
                          <w:color w:val="000000" w:themeColor="dark1"/>
                          <w:kern w:val="24"/>
                          <w:sz w:val="22"/>
                        </w:rPr>
                        <w:t xml:space="preserve">-1,5 mld dl 201/2011 </w:t>
                      </w:r>
                    </w:p>
                    <w:p w:rsidR="00B87946" w:rsidRPr="00B87946" w:rsidRDefault="00B87946" w:rsidP="00B87946">
                      <w:pPr>
                        <w:pStyle w:val="NormaleWeb"/>
                        <w:spacing w:before="0" w:beforeAutospacing="0" w:after="0" w:afterAutospacing="0"/>
                        <w:ind w:left="173"/>
                        <w:textAlignment w:val="baseline"/>
                        <w:rPr>
                          <w:rFonts w:asciiTheme="minorHAnsi" w:hAnsi="Calibri" w:cs="Arial"/>
                          <w:color w:val="000000" w:themeColor="dark1"/>
                          <w:kern w:val="24"/>
                          <w:sz w:val="22"/>
                          <w:lang w:val="en-US"/>
                        </w:rPr>
                      </w:pPr>
                      <w:r w:rsidRPr="00B87946">
                        <w:rPr>
                          <w:rFonts w:asciiTheme="minorHAnsi" w:hAnsi="Calibri" w:cs="Arial"/>
                          <w:color w:val="000000" w:themeColor="dark1"/>
                          <w:kern w:val="24"/>
                          <w:sz w:val="22"/>
                          <w:lang w:val="en-US"/>
                        </w:rPr>
                        <w:t>-90 mln Sp. Review</w:t>
                      </w:r>
                    </w:p>
                    <w:p w:rsidR="00B87946" w:rsidRPr="00B87946" w:rsidRDefault="00B87946" w:rsidP="00B87946">
                      <w:pPr>
                        <w:pStyle w:val="NormaleWeb"/>
                        <w:spacing w:before="0" w:beforeAutospacing="0" w:after="0" w:afterAutospacing="0"/>
                        <w:ind w:left="173"/>
                        <w:textAlignment w:val="baseline"/>
                        <w:rPr>
                          <w:sz w:val="22"/>
                          <w:lang w:val="en-US"/>
                        </w:rPr>
                      </w:pPr>
                      <w:r w:rsidRPr="00B87946">
                        <w:rPr>
                          <w:rFonts w:asciiTheme="minorHAnsi" w:hAnsi="Calibri" w:cs="Arial"/>
                          <w:kern w:val="24"/>
                          <w:sz w:val="22"/>
                          <w:lang w:val="en-US"/>
                        </w:rPr>
                        <w:t>-464 mln errate stime ICI</w:t>
                      </w:r>
                    </w:p>
                    <w:p w:rsidR="00B87946" w:rsidRPr="00B87946" w:rsidRDefault="00B87946" w:rsidP="00B87946">
                      <w:pPr>
                        <w:rPr>
                          <w:lang w:val="en-US"/>
                        </w:rPr>
                      </w:pPr>
                    </w:p>
                  </w:txbxContent>
                </v:textbox>
              </v:shape>
            </w:pict>
          </mc:Fallback>
        </mc:AlternateContent>
      </w: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pPr>
    </w:p>
    <w:p w:rsidR="00915713" w:rsidRDefault="00915713" w:rsidP="006A6089">
      <w:pPr>
        <w:spacing w:before="60" w:after="60" w:line="420" w:lineRule="atLeast"/>
        <w:jc w:val="both"/>
        <w:outlineLvl w:val="0"/>
        <w:rPr>
          <w:rFonts w:ascii="Bookman Old Style" w:eastAsia="Arial Unicode MS" w:hAnsi="Bookman Old Style"/>
          <w:b/>
          <w:color w:val="000000"/>
          <w:sz w:val="22"/>
          <w:szCs w:val="22"/>
          <w:u w:val="single"/>
        </w:rPr>
        <w:sectPr w:rsidR="00915713" w:rsidSect="00B87946">
          <w:pgSz w:w="16838" w:h="11906" w:orient="landscape"/>
          <w:pgMar w:top="1134" w:right="1417" w:bottom="1134" w:left="1134" w:header="708" w:footer="708" w:gutter="0"/>
          <w:cols w:space="708"/>
          <w:titlePg/>
          <w:docGrid w:linePitch="360"/>
        </w:sectPr>
      </w:pPr>
    </w:p>
    <w:p w:rsidR="00651E20" w:rsidRPr="00651E20" w:rsidRDefault="00B87946" w:rsidP="00651E20">
      <w:pPr>
        <w:spacing w:before="60" w:after="60" w:line="420" w:lineRule="atLeast"/>
        <w:jc w:val="both"/>
        <w:rPr>
          <w:rFonts w:ascii="Bookman Old Style" w:hAnsi="Bookman Old Style"/>
          <w:b/>
          <w:sz w:val="22"/>
          <w:szCs w:val="22"/>
        </w:rPr>
      </w:pPr>
      <w:r>
        <w:rPr>
          <w:rFonts w:ascii="Bookman Old Style" w:hAnsi="Bookman Old Style"/>
          <w:b/>
          <w:sz w:val="22"/>
          <w:szCs w:val="22"/>
        </w:rPr>
        <w:lastRenderedPageBreak/>
        <w:t>Il Patto di stabilità intern</w:t>
      </w:r>
      <w:r w:rsidR="00651E20">
        <w:rPr>
          <w:rFonts w:ascii="Bookman Old Style" w:hAnsi="Bookman Old Style"/>
          <w:b/>
          <w:sz w:val="22"/>
          <w:szCs w:val="22"/>
        </w:rPr>
        <w:t>o</w:t>
      </w:r>
    </w:p>
    <w:p w:rsidR="001741E4" w:rsidRPr="00953716" w:rsidRDefault="00651E20" w:rsidP="006A6089">
      <w:pPr>
        <w:spacing w:before="60" w:after="60" w:line="420" w:lineRule="atLeast"/>
        <w:jc w:val="both"/>
        <w:rPr>
          <w:rFonts w:ascii="Bookman Old Style" w:hAnsi="Bookman Old Style" w:cs="Times New Roman"/>
          <w:sz w:val="22"/>
          <w:szCs w:val="22"/>
        </w:rPr>
      </w:pPr>
      <w:r>
        <w:rPr>
          <w:rFonts w:ascii="Bookman Old Style" w:hAnsi="Bookman Old Style" w:cs="Times New Roman"/>
          <w:sz w:val="22"/>
          <w:szCs w:val="22"/>
        </w:rPr>
        <w:t>N</w:t>
      </w:r>
      <w:r w:rsidR="001741E4" w:rsidRPr="00953716">
        <w:rPr>
          <w:rFonts w:ascii="Bookman Old Style" w:hAnsi="Bookman Old Style" w:cs="Times New Roman"/>
          <w:sz w:val="22"/>
          <w:szCs w:val="22"/>
        </w:rPr>
        <w:t xml:space="preserve">el 2014 continua a gravare sui </w:t>
      </w:r>
      <w:r w:rsidR="005B2D88">
        <w:rPr>
          <w:rFonts w:ascii="Bookman Old Style" w:hAnsi="Bookman Old Style" w:cs="Times New Roman"/>
          <w:sz w:val="22"/>
          <w:szCs w:val="22"/>
        </w:rPr>
        <w:t>C</w:t>
      </w:r>
      <w:r w:rsidR="001741E4" w:rsidRPr="00953716">
        <w:rPr>
          <w:rFonts w:ascii="Bookman Old Style" w:hAnsi="Bookman Old Style" w:cs="Times New Roman"/>
          <w:sz w:val="22"/>
          <w:szCs w:val="22"/>
        </w:rPr>
        <w:t>o</w:t>
      </w:r>
      <w:r>
        <w:rPr>
          <w:rFonts w:ascii="Bookman Old Style" w:hAnsi="Bookman Old Style" w:cs="Times New Roman"/>
          <w:sz w:val="22"/>
          <w:szCs w:val="22"/>
        </w:rPr>
        <w:t>muni una manovra in termini di P</w:t>
      </w:r>
      <w:r w:rsidR="001741E4" w:rsidRPr="00953716">
        <w:rPr>
          <w:rFonts w:ascii="Bookman Old Style" w:hAnsi="Bookman Old Style" w:cs="Times New Roman"/>
          <w:sz w:val="22"/>
          <w:szCs w:val="22"/>
        </w:rPr>
        <w:t xml:space="preserve">atto </w:t>
      </w:r>
      <w:r>
        <w:rPr>
          <w:rFonts w:ascii="Bookman Old Style" w:hAnsi="Bookman Old Style" w:cs="Times New Roman"/>
          <w:sz w:val="22"/>
          <w:szCs w:val="22"/>
        </w:rPr>
        <w:t xml:space="preserve">di stabilità </w:t>
      </w:r>
      <w:r w:rsidR="00F53B2A">
        <w:rPr>
          <w:rFonts w:ascii="Bookman Old Style" w:hAnsi="Bookman Old Style" w:cs="Times New Roman"/>
          <w:sz w:val="22"/>
          <w:szCs w:val="22"/>
        </w:rPr>
        <w:t xml:space="preserve">pari a 4 miliardi e </w:t>
      </w:r>
      <w:r w:rsidR="001741E4" w:rsidRPr="00953716">
        <w:rPr>
          <w:rFonts w:ascii="Bookman Old Style" w:hAnsi="Bookman Old Style" w:cs="Times New Roman"/>
          <w:sz w:val="22"/>
          <w:szCs w:val="22"/>
        </w:rPr>
        <w:t>500 milioni</w:t>
      </w:r>
      <w:r w:rsidR="00F53B2A">
        <w:rPr>
          <w:rFonts w:ascii="Bookman Old Style" w:hAnsi="Bookman Old Style" w:cs="Times New Roman"/>
          <w:sz w:val="22"/>
          <w:szCs w:val="22"/>
        </w:rPr>
        <w:t xml:space="preserve"> di euro</w:t>
      </w:r>
      <w:r w:rsidR="001741E4" w:rsidRPr="00953716">
        <w:rPr>
          <w:rFonts w:ascii="Bookman Old Style" w:hAnsi="Bookman Old Style" w:cs="Times New Roman"/>
          <w:sz w:val="22"/>
          <w:szCs w:val="22"/>
        </w:rPr>
        <w:t>, generando un avanzo finanziario, cioè risorse incassate non spendibili.</w:t>
      </w:r>
    </w:p>
    <w:p w:rsidR="009A618F" w:rsidRDefault="00E82F9F" w:rsidP="009A618F">
      <w:pPr>
        <w:spacing w:before="60" w:after="60" w:line="420" w:lineRule="atLeast"/>
        <w:jc w:val="both"/>
        <w:outlineLvl w:val="0"/>
        <w:rPr>
          <w:rFonts w:ascii="Bookman Old Style" w:eastAsia="Arial Unicode MS" w:hAnsi="Bookman Old Style"/>
          <w:color w:val="000000"/>
          <w:sz w:val="22"/>
          <w:szCs w:val="22"/>
          <w:u w:color="000000"/>
        </w:rPr>
      </w:pPr>
      <w:r w:rsidRPr="00E82F9F">
        <w:rPr>
          <w:rFonts w:ascii="Bookman Old Style" w:eastAsia="Arial Unicode MS" w:hAnsi="Bookman Old Style"/>
          <w:color w:val="000000"/>
          <w:sz w:val="22"/>
          <w:szCs w:val="22"/>
          <w:u w:color="000000"/>
        </w:rPr>
        <w:t xml:space="preserve">La stretta finanziaria imposta </w:t>
      </w:r>
      <w:r w:rsidR="00F53B2A">
        <w:rPr>
          <w:rFonts w:ascii="Bookman Old Style" w:eastAsia="Arial Unicode MS" w:hAnsi="Bookman Old Style"/>
          <w:color w:val="000000"/>
          <w:sz w:val="22"/>
          <w:szCs w:val="22"/>
          <w:u w:color="000000"/>
        </w:rPr>
        <w:t xml:space="preserve">in questi anni </w:t>
      </w:r>
      <w:r w:rsidR="00E31A0D">
        <w:rPr>
          <w:rFonts w:ascii="Bookman Old Style" w:eastAsia="Arial Unicode MS" w:hAnsi="Bookman Old Style"/>
          <w:color w:val="000000"/>
          <w:sz w:val="22"/>
          <w:szCs w:val="22"/>
          <w:u w:color="000000"/>
        </w:rPr>
        <w:t>dal</w:t>
      </w:r>
      <w:r w:rsidRPr="00E82F9F">
        <w:rPr>
          <w:rFonts w:ascii="Bookman Old Style" w:eastAsia="Arial Unicode MS" w:hAnsi="Bookman Old Style"/>
          <w:color w:val="000000"/>
          <w:sz w:val="22"/>
          <w:szCs w:val="22"/>
          <w:u w:color="000000"/>
        </w:rPr>
        <w:t xml:space="preserve"> Patto di </w:t>
      </w:r>
      <w:r w:rsidR="00F53B2A">
        <w:rPr>
          <w:rFonts w:ascii="Bookman Old Style" w:eastAsia="Arial Unicode MS" w:hAnsi="Bookman Old Style"/>
          <w:color w:val="000000"/>
          <w:sz w:val="22"/>
          <w:szCs w:val="22"/>
          <w:u w:color="000000"/>
        </w:rPr>
        <w:t>s</w:t>
      </w:r>
      <w:r w:rsidRPr="00E82F9F">
        <w:rPr>
          <w:rFonts w:ascii="Bookman Old Style" w:eastAsia="Arial Unicode MS" w:hAnsi="Bookman Old Style"/>
          <w:color w:val="000000"/>
          <w:sz w:val="22"/>
          <w:szCs w:val="22"/>
          <w:u w:color="000000"/>
        </w:rPr>
        <w:t xml:space="preserve">tabilità si è scaricata </w:t>
      </w:r>
      <w:r w:rsidR="009A618F" w:rsidRPr="00E82F9F">
        <w:rPr>
          <w:rFonts w:ascii="Bookman Old Style" w:eastAsia="Arial Unicode MS" w:hAnsi="Bookman Old Style"/>
          <w:color w:val="000000"/>
          <w:sz w:val="22"/>
          <w:szCs w:val="22"/>
          <w:u w:color="000000"/>
        </w:rPr>
        <w:t xml:space="preserve">principalmente sulla spesa maggiormente comprimibile, quella per </w:t>
      </w:r>
      <w:r w:rsidR="009A618F" w:rsidRPr="00E31A0D">
        <w:rPr>
          <w:rFonts w:ascii="Bookman Old Style" w:eastAsia="Arial Unicode MS" w:hAnsi="Bookman Old Style"/>
          <w:color w:val="000000"/>
          <w:sz w:val="22"/>
          <w:szCs w:val="22"/>
          <w:u w:color="000000"/>
        </w:rPr>
        <w:t>investimenti</w:t>
      </w:r>
      <w:r w:rsidR="00F53B2A">
        <w:rPr>
          <w:rFonts w:ascii="Bookman Old Style" w:eastAsia="Arial Unicode MS" w:hAnsi="Bookman Old Style"/>
          <w:color w:val="000000"/>
          <w:sz w:val="22"/>
          <w:szCs w:val="22"/>
          <w:u w:color="000000"/>
        </w:rPr>
        <w:t>,</w:t>
      </w:r>
      <w:r w:rsidR="009A618F" w:rsidRPr="00E82F9F">
        <w:rPr>
          <w:rFonts w:ascii="Bookman Old Style" w:eastAsia="Arial Unicode MS" w:hAnsi="Bookman Old Style"/>
          <w:b/>
          <w:color w:val="000000"/>
          <w:sz w:val="22"/>
          <w:szCs w:val="22"/>
          <w:u w:color="000000"/>
        </w:rPr>
        <w:t xml:space="preserve"> </w:t>
      </w:r>
      <w:r w:rsidR="009A618F" w:rsidRPr="00E82F9F">
        <w:rPr>
          <w:rFonts w:ascii="Bookman Old Style" w:eastAsia="Arial Unicode MS" w:hAnsi="Bookman Old Style"/>
          <w:color w:val="000000"/>
          <w:sz w:val="22"/>
          <w:szCs w:val="22"/>
          <w:u w:color="000000"/>
        </w:rPr>
        <w:t>che registra una riduzione del 28% dal 2007 al 2012.</w:t>
      </w:r>
    </w:p>
    <w:p w:rsidR="00E31A0D" w:rsidRDefault="002B07C8" w:rsidP="002B07C8">
      <w:pPr>
        <w:spacing w:before="60" w:after="60" w:line="420" w:lineRule="atLeast"/>
        <w:jc w:val="center"/>
        <w:outlineLvl w:val="0"/>
        <w:rPr>
          <w:rFonts w:ascii="Bookman Old Style" w:eastAsia="Arial Unicode MS" w:hAnsi="Bookman Old Style"/>
          <w:color w:val="000000"/>
          <w:sz w:val="22"/>
          <w:szCs w:val="22"/>
          <w:u w:color="000000"/>
        </w:rPr>
      </w:pPr>
      <w:r>
        <w:rPr>
          <w:noProof/>
          <w:lang w:eastAsia="it-IT"/>
        </w:rPr>
        <w:drawing>
          <wp:inline distT="0" distB="0" distL="0" distR="0" wp14:anchorId="116C79A4" wp14:editId="0DB75353">
            <wp:extent cx="5184000" cy="2909686"/>
            <wp:effectExtent l="0" t="0" r="17145" b="24130"/>
            <wp:docPr id="2" name="Gra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B2A" w:rsidRPr="00953716" w:rsidRDefault="00F53B2A" w:rsidP="00F53B2A">
      <w:pPr>
        <w:spacing w:before="60" w:after="60" w:line="420" w:lineRule="atLeast"/>
        <w:jc w:val="both"/>
        <w:rPr>
          <w:rFonts w:ascii="Bookman Old Style" w:hAnsi="Bookman Old Style" w:cs="Times New Roman"/>
          <w:sz w:val="22"/>
          <w:szCs w:val="22"/>
        </w:rPr>
      </w:pPr>
      <w:r w:rsidRPr="00953716">
        <w:rPr>
          <w:rFonts w:ascii="Bookman Old Style" w:hAnsi="Bookman Old Style" w:cs="Times New Roman"/>
          <w:sz w:val="22"/>
          <w:szCs w:val="22"/>
        </w:rPr>
        <w:t>Per il 2014 la legge di stabilità mette a disposizione di Comuni e Province 1 miliardo per agevolare la spesa per investimenti; mentre le ulteriori risorse per l’anno 2014 - in termini di spazi finanziari - per i pagamenti arretrati in conto capitale ammontano a 500 milioni per Regioni, Province e Comuni.</w:t>
      </w:r>
    </w:p>
    <w:p w:rsidR="00F53B2A" w:rsidRDefault="00F53B2A" w:rsidP="00F53B2A">
      <w:pPr>
        <w:spacing w:before="60" w:after="60" w:line="420" w:lineRule="atLeast"/>
        <w:jc w:val="both"/>
        <w:rPr>
          <w:rFonts w:ascii="Bookman Old Style" w:hAnsi="Bookman Old Style" w:cs="Times New Roman"/>
          <w:sz w:val="22"/>
          <w:szCs w:val="22"/>
        </w:rPr>
      </w:pPr>
      <w:r w:rsidRPr="00651E20">
        <w:rPr>
          <w:rFonts w:ascii="Bookman Old Style" w:hAnsi="Bookman Old Style" w:cs="Times New Roman"/>
          <w:sz w:val="22"/>
          <w:szCs w:val="22"/>
        </w:rPr>
        <w:t>Questi segnali sono importanti ma non sufficienti</w:t>
      </w:r>
      <w:r w:rsidRPr="00953716">
        <w:rPr>
          <w:rFonts w:ascii="Bookman Old Style" w:hAnsi="Bookman Old Style" w:cs="Times New Roman"/>
          <w:sz w:val="22"/>
          <w:szCs w:val="22"/>
        </w:rPr>
        <w:t>, in quanto non offrono una prospettiva strutturale alla ripartenza degli investimenti: la ripresa non passa solo per i pagamenti arretrati ma anche per l’avvio della progettazione delle opere pubbliche sul territorio. Si rischia altrimenti di premiare solo chi ha forzato la programmazione, senza dare prospettive a chi invece è rimasto nei limiti dati dalle regole generali, anche a scapito dei territori amministrati.</w:t>
      </w:r>
    </w:p>
    <w:p w:rsidR="006A6089" w:rsidRPr="006A6089" w:rsidRDefault="006A6089" w:rsidP="006A6089">
      <w:pPr>
        <w:spacing w:before="60" w:after="60" w:line="420" w:lineRule="atLeast"/>
        <w:jc w:val="both"/>
        <w:rPr>
          <w:rFonts w:ascii="Bookman Old Style" w:hAnsi="Bookman Old Style" w:cs="Times New Roman"/>
          <w:sz w:val="22"/>
          <w:szCs w:val="22"/>
        </w:rPr>
      </w:pPr>
      <w:r w:rsidRPr="00E82F9F">
        <w:rPr>
          <w:rFonts w:ascii="Bookman Old Style" w:hAnsi="Bookman Old Style" w:cs="Times New Roman"/>
          <w:sz w:val="22"/>
          <w:szCs w:val="22"/>
        </w:rPr>
        <w:t>A tal proposito l’</w:t>
      </w:r>
      <w:r w:rsidR="00953716" w:rsidRPr="00E82F9F">
        <w:rPr>
          <w:rFonts w:ascii="Bookman Old Style" w:hAnsi="Bookman Old Style" w:cs="Times New Roman"/>
          <w:sz w:val="22"/>
          <w:szCs w:val="22"/>
        </w:rPr>
        <w:t>Anci propone, da tempo,</w:t>
      </w:r>
      <w:r w:rsidRPr="00E82F9F">
        <w:rPr>
          <w:rFonts w:ascii="Bookman Old Style" w:hAnsi="Bookman Old Style" w:cs="Times New Roman"/>
          <w:sz w:val="22"/>
          <w:szCs w:val="22"/>
        </w:rPr>
        <w:t xml:space="preserve"> l’introduzione della</w:t>
      </w:r>
      <w:r w:rsidRPr="006A6089">
        <w:rPr>
          <w:rFonts w:ascii="Bookman Old Style" w:hAnsi="Bookman Old Style" w:cs="Times New Roman"/>
          <w:sz w:val="22"/>
          <w:szCs w:val="22"/>
        </w:rPr>
        <w:t xml:space="preserve"> </w:t>
      </w:r>
      <w:r w:rsidRPr="006A6089">
        <w:rPr>
          <w:rFonts w:ascii="Bookman Old Style" w:hAnsi="Bookman Old Style" w:cs="Times New Roman"/>
          <w:i/>
          <w:sz w:val="22"/>
          <w:szCs w:val="22"/>
        </w:rPr>
        <w:t xml:space="preserve">Golden Rule ed il superamento dell’avanzo di bilancio imposto ai </w:t>
      </w:r>
      <w:r w:rsidR="005B2D88">
        <w:rPr>
          <w:rFonts w:ascii="Bookman Old Style" w:hAnsi="Bookman Old Style" w:cs="Times New Roman"/>
          <w:i/>
          <w:sz w:val="22"/>
          <w:szCs w:val="22"/>
        </w:rPr>
        <w:t>C</w:t>
      </w:r>
      <w:r w:rsidRPr="006A6089">
        <w:rPr>
          <w:rFonts w:ascii="Bookman Old Style" w:hAnsi="Bookman Old Style" w:cs="Times New Roman"/>
          <w:i/>
          <w:sz w:val="22"/>
          <w:szCs w:val="22"/>
        </w:rPr>
        <w:t xml:space="preserve">omuni per risanare la finanza pubblica: </w:t>
      </w:r>
      <w:r w:rsidRPr="006A6089">
        <w:rPr>
          <w:rFonts w:ascii="Bookman Old Style" w:hAnsi="Bookman Old Style" w:cs="Times New Roman"/>
          <w:sz w:val="22"/>
          <w:szCs w:val="22"/>
        </w:rPr>
        <w:t xml:space="preserve"> in modo che tutti i Comuni non producano deficit ma abbiano lo spazio per investire: cioè mantengano l’equilibrio di parte corrente e possano programmare un piccolo deficit – deciso a livello statale - per produrre debito finalizzato alla realizzazione degli </w:t>
      </w:r>
      <w:r w:rsidRPr="006A6089">
        <w:rPr>
          <w:rFonts w:ascii="Bookman Old Style" w:hAnsi="Bookman Old Style" w:cs="Times New Roman"/>
          <w:sz w:val="22"/>
          <w:szCs w:val="22"/>
        </w:rPr>
        <w:lastRenderedPageBreak/>
        <w:t>investimenti. A ciò consegue la revisione, nell’applicazione e nella quantificazione, del limite all’indebitamento, che non consente oggi di programmare nuovi investimenti.</w:t>
      </w:r>
    </w:p>
    <w:p w:rsidR="0030460B" w:rsidRDefault="0030460B" w:rsidP="0030460B">
      <w:pPr>
        <w:spacing w:before="60" w:after="60" w:line="420" w:lineRule="atLeast"/>
        <w:jc w:val="both"/>
        <w:outlineLvl w:val="0"/>
        <w:rPr>
          <w:rFonts w:ascii="Bookman Old Style" w:eastAsia="Arial Unicode MS" w:hAnsi="Bookman Old Style"/>
          <w:color w:val="000000"/>
          <w:sz w:val="22"/>
          <w:szCs w:val="22"/>
          <w:u w:color="000000"/>
        </w:rPr>
      </w:pPr>
      <w:r w:rsidRPr="0030460B">
        <w:rPr>
          <w:rFonts w:ascii="Bookman Old Style" w:eastAsia="Arial Unicode MS" w:hAnsi="Bookman Old Style"/>
          <w:color w:val="000000"/>
          <w:sz w:val="22"/>
          <w:szCs w:val="22"/>
          <w:u w:color="000000"/>
        </w:rPr>
        <w:t xml:space="preserve">Il DEF è lo strumento utile per la programmazione economica e finanziaria del Paese, ed è sicuramente nella fase di programmazione che è necessario individuare soluzioni compatibili per l’equilibrio della finanza pubblica. </w:t>
      </w:r>
    </w:p>
    <w:p w:rsidR="00117D99" w:rsidRPr="00117D99" w:rsidRDefault="00117D99" w:rsidP="00117D99">
      <w:pPr>
        <w:spacing w:before="60" w:after="60" w:line="420" w:lineRule="atLeast"/>
        <w:jc w:val="both"/>
        <w:outlineLvl w:val="0"/>
        <w:rPr>
          <w:rFonts w:ascii="Bookman Old Style" w:hAnsi="Bookman Old Style"/>
          <w:b/>
          <w:sz w:val="22"/>
          <w:szCs w:val="22"/>
        </w:rPr>
      </w:pPr>
      <w:r w:rsidRPr="00117D99">
        <w:rPr>
          <w:rFonts w:ascii="Bookman Old Style" w:hAnsi="Bookman Old Style"/>
          <w:b/>
          <w:sz w:val="22"/>
          <w:szCs w:val="22"/>
        </w:rPr>
        <w:t>Fabbisogni standard</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La legge 5 maggio 2009, n. 42, imponendo il superamento della spesa storica nel finanziamento degli Enti locali, definisce le linee guida per determinare costi e fabbisogni standard dei servizi quali indicatori di riferimento per la copertura integrale delle funzioni fondamentali.</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Il percorso per l’individuazione dei fabbisogni standard è stato avviato, ma negli ultimi anni si è assistito ad un allontanamento dall’utilizzo degli esiti dell’analisi sino ad oggi realizzata. L’impiego diverso da quello previsto dalla norma di riferimento dà spunto per ulteriori considerazioni.</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Prioritariamente, si esprime il disappunto rispetto a queste eventuali scelte, segnalando come l’intera costruzione dei fabbisogni standard sia stata realizzata con il fine ultimo di alimentare un sistema di perequazione che ridisegnasse il sistema di allocazione delle risorse tra gli enti, sia quelle proprie (capacità fiscale), sia quelle erogate dallo Stato centrale. L’assegnazione di un fabbisogno standard non equivale all’attribuzione di un ranking di efficienza o al giudizio di merito circa la robustezza finanziaria di un ente. Essa riguarda una parte della più complessa valutazione delle risorse a disposizione di ciascun comune rispetto alle esigenze del territorio in cui opera, che al momento si trova in una fase molto arretrata, per effetto essenzialmente delle incertezze sul versante dell’IMU e sui criteri con cui ripartire i sacrifici di finanza pubblica, prim’ancora che tra i singoli enti, tra i diversi comparti della Pubblica amministrazione.</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I rischi di un uso alternativo dei fabbisogni standard sono più che concreti e trovano riscontro in diverse norme. Nella legge di stabilità 2013 era stata prospettata l’idea di ripartire il taglio della spending review secondo i fabbisogni standard. Nell’attuale legge di stabilità per il 2014 si prevede invece di ripartire il 10% dell’FSC secondo i fabbisogni standard.</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In merito alla spending review l’Associazione fin dall’emanazione del decreto legge</w:t>
      </w:r>
      <w:r w:rsidR="00DF2A77">
        <w:rPr>
          <w:rFonts w:ascii="Bookman Old Style" w:hAnsi="Bookman Old Style" w:cs="Times New Roman"/>
          <w:sz w:val="22"/>
          <w:szCs w:val="22"/>
        </w:rPr>
        <w:t xml:space="preserve"> n. 95 del 2</w:t>
      </w:r>
      <w:r w:rsidRPr="00117D99">
        <w:rPr>
          <w:rFonts w:ascii="Bookman Old Style" w:hAnsi="Bookman Old Style" w:cs="Times New Roman"/>
          <w:sz w:val="22"/>
          <w:szCs w:val="22"/>
        </w:rPr>
        <w:t>012 ha sollevato sia in sede tecnica che in sede politica le perplessità in merito alla quantificazione ed alla metodologia di tale operazione.</w:t>
      </w:r>
    </w:p>
    <w:p w:rsidR="00117D99" w:rsidRP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lastRenderedPageBreak/>
        <w:t xml:space="preserve">Il sacrificio finanziario richiesto ai Comuni </w:t>
      </w:r>
      <w:r w:rsidR="00DF2A77">
        <w:rPr>
          <w:rFonts w:ascii="Bookman Old Style" w:hAnsi="Bookman Old Style" w:cs="Times New Roman"/>
          <w:sz w:val="22"/>
          <w:szCs w:val="22"/>
        </w:rPr>
        <w:t xml:space="preserve">nel 2013 </w:t>
      </w:r>
      <w:r w:rsidRPr="00117D99">
        <w:rPr>
          <w:rFonts w:ascii="Bookman Old Style" w:hAnsi="Bookman Old Style" w:cs="Times New Roman"/>
          <w:sz w:val="22"/>
          <w:szCs w:val="22"/>
        </w:rPr>
        <w:t>attraverso una diminuzione delle risorse per un importo complessivo di 2 miliardi e 250 milioni di euro è stato di difficile sostenibilità, infatti il taglio disposto equivaleva per l’anno 2013 al 30% delle assegnazioni statali dell’anno 2012 e al 9% della spesa per consumi intermedi.</w:t>
      </w:r>
    </w:p>
    <w:p w:rsidR="00117D99" w:rsidRPr="00DF2A77" w:rsidRDefault="00117D99" w:rsidP="00117D99">
      <w:pPr>
        <w:spacing w:before="60" w:after="60" w:line="420" w:lineRule="atLeast"/>
        <w:jc w:val="both"/>
        <w:rPr>
          <w:rFonts w:ascii="Bookman Old Style" w:hAnsi="Bookman Old Style" w:cs="Times New Roman"/>
          <w:b/>
          <w:sz w:val="22"/>
          <w:szCs w:val="22"/>
        </w:rPr>
      </w:pPr>
      <w:r w:rsidRPr="00117D99">
        <w:rPr>
          <w:rFonts w:ascii="Bookman Old Style" w:hAnsi="Bookman Old Style" w:cs="Times New Roman"/>
          <w:sz w:val="22"/>
          <w:szCs w:val="22"/>
        </w:rPr>
        <w:t xml:space="preserve">Per quanto attiene la metodologia il decreto legge </w:t>
      </w:r>
      <w:r w:rsidR="00DF2A77">
        <w:rPr>
          <w:rFonts w:ascii="Bookman Old Style" w:hAnsi="Bookman Old Style" w:cs="Times New Roman"/>
          <w:sz w:val="22"/>
          <w:szCs w:val="22"/>
        </w:rPr>
        <w:t xml:space="preserve">n. </w:t>
      </w:r>
      <w:r w:rsidRPr="00117D99">
        <w:rPr>
          <w:rFonts w:ascii="Bookman Old Style" w:hAnsi="Bookman Old Style" w:cs="Times New Roman"/>
          <w:sz w:val="22"/>
          <w:szCs w:val="22"/>
        </w:rPr>
        <w:t xml:space="preserve">95 del 2012 richiama la possibilità di utilizzare i fabbisogni standard come criterio di riparto, invertendone la funzione prevista dalla legge 42 del 2009 ossia di assegnare risorse per assicurare alla collettività la fruizione dei servizi a costi standard; nel 2012 è stato possibile accelerare il percorso di avvicinamento agli standard in quanto la cifra richiesta era vicina agli scostamenti rilevabili. L’obiettivo di riduzione per il 2013 a causa dell’entità oltremodo onerosa non poteva essere gestito come un efficientamento della spesa e si è realizzato come un vero e proprio taglio. </w:t>
      </w:r>
      <w:r w:rsidRPr="00DF2A77">
        <w:rPr>
          <w:rFonts w:ascii="Bookman Old Style" w:hAnsi="Bookman Old Style" w:cs="Times New Roman"/>
          <w:b/>
          <w:sz w:val="22"/>
          <w:szCs w:val="22"/>
        </w:rPr>
        <w:t xml:space="preserve">Infatti attraverso la metodologia basata sui fabbisogni standard era possibile fornire un risparmio massimo di circa 800 milioni di euro e non di 2.250 milioni di euro richiesti dalla norma per il 2013. Tale ragionamento è </w:t>
      </w:r>
      <w:r w:rsidR="00DF2A77">
        <w:rPr>
          <w:rFonts w:ascii="Bookman Old Style" w:hAnsi="Bookman Old Style" w:cs="Times New Roman"/>
          <w:b/>
          <w:sz w:val="22"/>
          <w:szCs w:val="22"/>
        </w:rPr>
        <w:t xml:space="preserve">maggiormente </w:t>
      </w:r>
      <w:r w:rsidRPr="00DF2A77">
        <w:rPr>
          <w:rFonts w:ascii="Bookman Old Style" w:hAnsi="Bookman Old Style" w:cs="Times New Roman"/>
          <w:b/>
          <w:sz w:val="22"/>
          <w:szCs w:val="22"/>
        </w:rPr>
        <w:t>valido per la progressione del taglio da spending review, pari a 2.500 milioni di euro per il 2014, a 2.600 milioni di euro per il 2015 e a 2</w:t>
      </w:r>
      <w:r w:rsidR="00DF2A77">
        <w:rPr>
          <w:rFonts w:ascii="Bookman Old Style" w:hAnsi="Bookman Old Style" w:cs="Times New Roman"/>
          <w:b/>
          <w:sz w:val="22"/>
          <w:szCs w:val="22"/>
        </w:rPr>
        <w:t>.</w:t>
      </w:r>
      <w:r w:rsidR="005C5501">
        <w:rPr>
          <w:rFonts w:ascii="Bookman Old Style" w:hAnsi="Bookman Old Style" w:cs="Times New Roman"/>
          <w:b/>
          <w:sz w:val="22"/>
          <w:szCs w:val="22"/>
        </w:rPr>
        <w:t>875</w:t>
      </w:r>
      <w:r w:rsidRPr="00DF2A77">
        <w:rPr>
          <w:rFonts w:ascii="Bookman Old Style" w:hAnsi="Bookman Old Style" w:cs="Times New Roman"/>
          <w:b/>
          <w:sz w:val="22"/>
          <w:szCs w:val="22"/>
        </w:rPr>
        <w:t xml:space="preserve"> milioni di euro per gli anni 2016 e 2017, come recentemente disposto dalla Legge di stabilità 2014. </w:t>
      </w:r>
    </w:p>
    <w:p w:rsidR="00117D99" w:rsidRDefault="00117D99" w:rsidP="00117D99">
      <w:pPr>
        <w:spacing w:before="60" w:after="60" w:line="420" w:lineRule="atLeast"/>
        <w:jc w:val="both"/>
        <w:rPr>
          <w:rFonts w:ascii="Bookman Old Style" w:hAnsi="Bookman Old Style" w:cs="Times New Roman"/>
          <w:sz w:val="22"/>
          <w:szCs w:val="22"/>
        </w:rPr>
      </w:pPr>
      <w:r w:rsidRPr="00117D99">
        <w:rPr>
          <w:rFonts w:ascii="Bookman Old Style" w:hAnsi="Bookman Old Style" w:cs="Times New Roman"/>
          <w:sz w:val="22"/>
          <w:szCs w:val="22"/>
        </w:rPr>
        <w:t>Alla luce di queste c</w:t>
      </w:r>
      <w:r w:rsidR="008B761F">
        <w:rPr>
          <w:rFonts w:ascii="Bookman Old Style" w:hAnsi="Bookman Old Style" w:cs="Times New Roman"/>
          <w:sz w:val="22"/>
          <w:szCs w:val="22"/>
        </w:rPr>
        <w:t>onsiderazioni si ritiene che i C</w:t>
      </w:r>
      <w:r w:rsidRPr="00117D99">
        <w:rPr>
          <w:rFonts w:ascii="Bookman Old Style" w:hAnsi="Bookman Old Style" w:cs="Times New Roman"/>
          <w:sz w:val="22"/>
          <w:szCs w:val="22"/>
        </w:rPr>
        <w:t xml:space="preserve">omuni hanno contribuito oltre modo al risanamento dei conti pubblici e alla razionalizzazione della spesa pubblica e non è accettabile che i fabbisogni standard vengano utilizzati per fini diversi da quelli individuati dalla legge. </w:t>
      </w:r>
    </w:p>
    <w:p w:rsidR="00234D1F" w:rsidRPr="005C5501" w:rsidRDefault="00755DC3" w:rsidP="00234D1F">
      <w:pPr>
        <w:spacing w:before="60" w:after="60" w:line="420" w:lineRule="atLeast"/>
        <w:jc w:val="both"/>
        <w:rPr>
          <w:rFonts w:ascii="Bookman Old Style" w:hAnsi="Bookman Old Style" w:cs="Times New Roman"/>
          <w:sz w:val="22"/>
          <w:szCs w:val="22"/>
        </w:rPr>
      </w:pPr>
      <w:r w:rsidRPr="005C5501">
        <w:rPr>
          <w:rFonts w:ascii="Bookman Old Style" w:hAnsi="Bookman Old Style" w:cs="Times New Roman"/>
          <w:sz w:val="22"/>
          <w:szCs w:val="22"/>
        </w:rPr>
        <w:t xml:space="preserve">È necessario ricordare che il contesto di finanza locale si è evoluto comprimendo gli spazi finanziari disponibili per la maggior parte dei Comuni. </w:t>
      </w:r>
      <w:r w:rsidR="008B761F" w:rsidRPr="005C5501">
        <w:rPr>
          <w:rFonts w:ascii="Bookman Old Style" w:hAnsi="Bookman Old Style" w:cs="Times New Roman"/>
          <w:sz w:val="22"/>
          <w:szCs w:val="22"/>
        </w:rPr>
        <w:t xml:space="preserve">In altre parole il comparto </w:t>
      </w:r>
      <w:r w:rsidRPr="005C5501">
        <w:rPr>
          <w:rFonts w:ascii="Bookman Old Style" w:hAnsi="Bookman Old Style" w:cs="Times New Roman"/>
          <w:sz w:val="22"/>
          <w:szCs w:val="22"/>
        </w:rPr>
        <w:t xml:space="preserve">non </w:t>
      </w:r>
      <w:r w:rsidR="008B761F" w:rsidRPr="005C5501">
        <w:rPr>
          <w:rFonts w:ascii="Bookman Old Style" w:hAnsi="Bookman Old Style" w:cs="Times New Roman"/>
          <w:sz w:val="22"/>
          <w:szCs w:val="22"/>
        </w:rPr>
        <w:t xml:space="preserve">ha </w:t>
      </w:r>
      <w:r w:rsidRPr="005C5501">
        <w:rPr>
          <w:rFonts w:ascii="Bookman Old Style" w:hAnsi="Bookman Old Style" w:cs="Times New Roman"/>
          <w:sz w:val="22"/>
          <w:szCs w:val="22"/>
        </w:rPr>
        <w:t>più margini di reazione ad eventuali manovre, sia in termini di Patto di Stabilità sia sul fronte delle entrate. I sacrifici finanziari imposti</w:t>
      </w:r>
      <w:r w:rsidR="008B761F" w:rsidRPr="005C5501">
        <w:rPr>
          <w:rFonts w:ascii="Bookman Old Style" w:hAnsi="Bookman Old Style" w:cs="Times New Roman"/>
          <w:sz w:val="22"/>
          <w:szCs w:val="22"/>
        </w:rPr>
        <w:t xml:space="preserve"> ai</w:t>
      </w:r>
      <w:r w:rsidR="005B2D88" w:rsidRPr="005C5501">
        <w:rPr>
          <w:rFonts w:ascii="Bookman Old Style" w:hAnsi="Bookman Old Style" w:cs="Times New Roman"/>
          <w:sz w:val="22"/>
          <w:szCs w:val="22"/>
        </w:rPr>
        <w:t xml:space="preserve"> </w:t>
      </w:r>
      <w:r w:rsidR="008B761F" w:rsidRPr="005C5501">
        <w:rPr>
          <w:rFonts w:ascii="Bookman Old Style" w:hAnsi="Bookman Old Style" w:cs="Times New Roman"/>
          <w:sz w:val="22"/>
          <w:szCs w:val="22"/>
        </w:rPr>
        <w:t xml:space="preserve">Comuni </w:t>
      </w:r>
      <w:r w:rsidRPr="005C5501">
        <w:rPr>
          <w:rFonts w:ascii="Bookman Old Style" w:hAnsi="Bookman Old Style" w:cs="Times New Roman"/>
          <w:sz w:val="22"/>
          <w:szCs w:val="22"/>
        </w:rPr>
        <w:t xml:space="preserve">negli ultimi anni hanno eroso completamente i margini di riduzione della spesa corrente ed hanno determinato il crollo della spesa per investimenti. Ulteriori manovre risultano quindi assolutamente insostenibili per i Comuni </w:t>
      </w:r>
      <w:r w:rsidR="00A50EB3" w:rsidRPr="005C5501">
        <w:rPr>
          <w:rFonts w:ascii="Bookman Old Style" w:hAnsi="Bookman Old Style" w:cs="Times New Roman"/>
          <w:sz w:val="22"/>
          <w:szCs w:val="22"/>
        </w:rPr>
        <w:t>se non si immaginano misure di riforma strutturale in ragione della ric</w:t>
      </w:r>
      <w:r w:rsidR="00234D1F" w:rsidRPr="005C5501">
        <w:rPr>
          <w:rFonts w:ascii="Bookman Old Style" w:hAnsi="Bookman Old Style" w:cs="Times New Roman"/>
          <w:sz w:val="22"/>
          <w:szCs w:val="22"/>
        </w:rPr>
        <w:t xml:space="preserve">erca di un efficientamento </w:t>
      </w:r>
      <w:r w:rsidR="008B761F" w:rsidRPr="005C5501">
        <w:rPr>
          <w:rFonts w:ascii="Bookman Old Style" w:hAnsi="Bookman Old Style" w:cs="Times New Roman"/>
          <w:sz w:val="22"/>
          <w:szCs w:val="22"/>
        </w:rPr>
        <w:t>che coinvolga le</w:t>
      </w:r>
      <w:r w:rsidR="00234D1F" w:rsidRPr="005C5501">
        <w:rPr>
          <w:rFonts w:ascii="Bookman Old Style" w:hAnsi="Bookman Old Style" w:cs="Times New Roman"/>
          <w:sz w:val="22"/>
          <w:szCs w:val="22"/>
        </w:rPr>
        <w:t xml:space="preserve"> spese </w:t>
      </w:r>
      <w:r w:rsidR="008B761F" w:rsidRPr="005C5501">
        <w:rPr>
          <w:rFonts w:ascii="Bookman Old Style" w:hAnsi="Bookman Old Style" w:cs="Times New Roman"/>
          <w:sz w:val="22"/>
          <w:szCs w:val="22"/>
        </w:rPr>
        <w:t xml:space="preserve">che </w:t>
      </w:r>
      <w:r w:rsidR="00234D1F" w:rsidRPr="005C5501">
        <w:rPr>
          <w:rFonts w:ascii="Bookman Old Style" w:hAnsi="Bookman Old Style" w:cs="Times New Roman"/>
          <w:sz w:val="22"/>
          <w:szCs w:val="22"/>
        </w:rPr>
        <w:t>attualmente non sono nella disponibilità dei Comuni.</w:t>
      </w:r>
    </w:p>
    <w:p w:rsidR="0021225D" w:rsidRDefault="00234D1F" w:rsidP="0030460B">
      <w:pPr>
        <w:spacing w:before="60" w:after="60" w:line="420" w:lineRule="atLeast"/>
        <w:jc w:val="both"/>
        <w:outlineLvl w:val="0"/>
        <w:rPr>
          <w:rFonts w:ascii="Bookman Old Style" w:hAnsi="Bookman Old Style" w:cs="Times New Roman"/>
          <w:sz w:val="22"/>
          <w:szCs w:val="22"/>
        </w:rPr>
      </w:pPr>
      <w:r w:rsidRPr="005C5501">
        <w:rPr>
          <w:rFonts w:ascii="Bookman Old Style" w:hAnsi="Bookman Old Style" w:cs="Times New Roman"/>
          <w:sz w:val="22"/>
          <w:szCs w:val="22"/>
        </w:rPr>
        <w:t xml:space="preserve">Tra </w:t>
      </w:r>
      <w:r w:rsidR="008B761F" w:rsidRPr="005C5501">
        <w:rPr>
          <w:rFonts w:ascii="Bookman Old Style" w:hAnsi="Bookman Old Style" w:cs="Times New Roman"/>
          <w:sz w:val="22"/>
          <w:szCs w:val="22"/>
        </w:rPr>
        <w:t>esse</w:t>
      </w:r>
      <w:r w:rsidRPr="005C5501">
        <w:rPr>
          <w:rFonts w:ascii="Bookman Old Style" w:hAnsi="Bookman Old Style" w:cs="Times New Roman"/>
          <w:sz w:val="22"/>
          <w:szCs w:val="22"/>
        </w:rPr>
        <w:t xml:space="preserve"> la più importante è sicuramente quella per il personale, che i Comuni non possono praticamente rimodulare e che assorbe una quota importante </w:t>
      </w:r>
      <w:r w:rsidR="00F53B2A" w:rsidRPr="005C5501">
        <w:rPr>
          <w:rFonts w:ascii="Bookman Old Style" w:hAnsi="Bookman Old Style" w:cs="Times New Roman"/>
          <w:sz w:val="22"/>
          <w:szCs w:val="22"/>
        </w:rPr>
        <w:t xml:space="preserve">dei </w:t>
      </w:r>
      <w:r w:rsidR="008B761F" w:rsidRPr="005C5501">
        <w:rPr>
          <w:rFonts w:ascii="Bookman Old Style" w:hAnsi="Bookman Old Style" w:cs="Times New Roman"/>
          <w:sz w:val="22"/>
          <w:szCs w:val="22"/>
        </w:rPr>
        <w:t xml:space="preserve">bilanci, in </w:t>
      </w:r>
      <w:r w:rsidR="008B761F" w:rsidRPr="005C5501">
        <w:rPr>
          <w:rFonts w:ascii="Bookman Old Style" w:hAnsi="Bookman Old Style" w:cs="Times New Roman"/>
          <w:sz w:val="22"/>
          <w:szCs w:val="22"/>
        </w:rPr>
        <w:lastRenderedPageBreak/>
        <w:t>larga parte composti da erogazione di servizi dove l’incidenza del personale è molto alta. Non secondaria è la presenza di spesa per funzioni delegate dallo Stato, come la Giustizia e l’assistenza ai minori non accompagnati, che gravano sui bilanci comunali senza alcun margine di discrezionalità negli stanziamenti.</w:t>
      </w:r>
      <w:r w:rsidR="008B761F">
        <w:rPr>
          <w:rFonts w:ascii="Bookman Old Style" w:hAnsi="Bookman Old Style" w:cs="Times New Roman"/>
          <w:sz w:val="22"/>
          <w:szCs w:val="22"/>
        </w:rPr>
        <w:t xml:space="preserve"> </w:t>
      </w:r>
    </w:p>
    <w:p w:rsidR="008B761F" w:rsidRPr="004917B3" w:rsidRDefault="004917B3" w:rsidP="0030460B">
      <w:pPr>
        <w:spacing w:before="60" w:after="60" w:line="420" w:lineRule="atLeast"/>
        <w:jc w:val="both"/>
        <w:outlineLvl w:val="0"/>
        <w:rPr>
          <w:rFonts w:ascii="Bookman Old Style" w:hAnsi="Bookman Old Style"/>
          <w:b/>
          <w:sz w:val="22"/>
          <w:szCs w:val="22"/>
        </w:rPr>
      </w:pPr>
      <w:r w:rsidRPr="004917B3">
        <w:rPr>
          <w:rFonts w:ascii="Bookman Old Style" w:hAnsi="Bookman Old Style"/>
          <w:b/>
          <w:sz w:val="22"/>
          <w:szCs w:val="22"/>
        </w:rPr>
        <w:t xml:space="preserve">Riforma della contabilità </w:t>
      </w:r>
    </w:p>
    <w:p w:rsidR="004917B3" w:rsidRPr="003C4BE6" w:rsidRDefault="004917B3" w:rsidP="004917B3">
      <w:pPr>
        <w:spacing w:before="120" w:after="120" w:line="360" w:lineRule="auto"/>
        <w:jc w:val="both"/>
        <w:rPr>
          <w:rFonts w:ascii="Bookman Old Style" w:hAnsi="Bookman Old Style"/>
          <w:sz w:val="22"/>
          <w:szCs w:val="22"/>
        </w:rPr>
      </w:pPr>
      <w:r w:rsidRPr="003C4BE6">
        <w:rPr>
          <w:rFonts w:ascii="Bookman Old Style" w:hAnsi="Bookman Old Style"/>
          <w:sz w:val="22"/>
          <w:szCs w:val="22"/>
        </w:rPr>
        <w:t>L’esigenza di armonizzazione dei bilanci all’interno del comparto della Pubblica Amministrazione, ben chiara al legislatore sin dall’approvazione della Legge Delega sul federalismo fiscale (legge n. 42 del 5 maggio 2009) e della Legge di contabilità e finanza pubblica (legge n. 196 del 31 dicembre 2009), è parsa evidente nella relazione del Governo al Parlamento del 30 giugno 2010 in tema di federalismo fiscale, in attuazione dell’articolo 2, comma 6 della legge n. 42 del 2009.</w:t>
      </w:r>
    </w:p>
    <w:p w:rsidR="004917B3" w:rsidRPr="003C4BE6" w:rsidRDefault="004917B3" w:rsidP="004917B3">
      <w:pPr>
        <w:spacing w:before="120" w:after="120" w:line="360" w:lineRule="auto"/>
        <w:jc w:val="both"/>
        <w:rPr>
          <w:rFonts w:ascii="Bookman Old Style" w:hAnsi="Bookman Old Style"/>
          <w:sz w:val="22"/>
          <w:szCs w:val="22"/>
        </w:rPr>
      </w:pPr>
      <w:r>
        <w:rPr>
          <w:rFonts w:ascii="Bookman Old Style" w:hAnsi="Bookman Old Style"/>
          <w:sz w:val="22"/>
          <w:szCs w:val="22"/>
        </w:rPr>
        <w:t>L</w:t>
      </w:r>
      <w:r w:rsidRPr="003C4BE6">
        <w:rPr>
          <w:rFonts w:ascii="Bookman Old Style" w:hAnsi="Bookman Old Style"/>
          <w:sz w:val="22"/>
          <w:szCs w:val="22"/>
        </w:rPr>
        <w:t>a legge n. 42 del 2009 (rivisto con l’approvazione della legge n. 196 del 31 dicembre 2009) ha indicato il percorso da seguire</w:t>
      </w:r>
      <w:r>
        <w:rPr>
          <w:rFonts w:ascii="Bookman Old Style" w:hAnsi="Bookman Old Style"/>
          <w:sz w:val="22"/>
          <w:szCs w:val="22"/>
        </w:rPr>
        <w:t xml:space="preserve"> per la riforma della contabilità</w:t>
      </w:r>
      <w:r w:rsidRPr="003C4BE6">
        <w:rPr>
          <w:rFonts w:ascii="Bookman Old Style" w:hAnsi="Bookman Old Style"/>
          <w:sz w:val="22"/>
          <w:szCs w:val="22"/>
        </w:rPr>
        <w:t>, stabilendo i seguenti principi:</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adozione di regole contabili uniformi e di un comune piano dei conti integrato;</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adozione di comuni schemi di bilancio articolati in missioni e programmi coerenti con la classificazione economica e funzionale individuata dagli appositi regolamenti comunitari in materia di contabilità nazionale e relativi conti satellite;</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adozione di un bilancio consolidato con le proprie aziende, società o altri organismi controllati, secondo uno schema comune;</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affiancamento, a fini conoscitivi, al sistema di contabilità finanziaria di un sistema e di schemi di contabilità economico-patrimoniale ispirati a comuni criteri di contabilizzazione;</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 xml:space="preserve">raccordabilità dei sistemi contabili e degli schemi di bilancio degli Enti territoriali con quelli adottati in ambito europeo ai fini della procedura per i disavanzi eccessivi; </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 xml:space="preserve">definizione di una tassonomia per la riclassificazione dei dati contabili e di bilancio per le Amministrazioni pubbliche di cui alla presente legge tenute al regime di contabilità civilistica, ai fini del raccordo con le regole contabili uniformi; </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definizione di un sistema di indicatori di risultato semplici, misurabili e riferiti ai programmi del bilancio, costruiti secondo criteri e metodologie comuni ai diversi Enti territoriali;</w:t>
      </w:r>
    </w:p>
    <w:p w:rsidR="004917B3" w:rsidRPr="003C4BE6" w:rsidRDefault="004917B3" w:rsidP="004917B3">
      <w:pPr>
        <w:pStyle w:val="Paragrafoelenco1"/>
        <w:numPr>
          <w:ilvl w:val="0"/>
          <w:numId w:val="2"/>
        </w:numPr>
        <w:spacing w:before="120" w:after="120" w:line="360" w:lineRule="auto"/>
        <w:jc w:val="both"/>
        <w:rPr>
          <w:rFonts w:ascii="Bookman Old Style" w:hAnsi="Bookman Old Style"/>
          <w:sz w:val="22"/>
          <w:szCs w:val="22"/>
        </w:rPr>
      </w:pPr>
      <w:r w:rsidRPr="003C4BE6">
        <w:rPr>
          <w:rFonts w:ascii="Bookman Old Style" w:hAnsi="Bookman Old Style"/>
          <w:sz w:val="22"/>
          <w:szCs w:val="22"/>
        </w:rPr>
        <w:t>individuazione del termine entro il quale Regioni ed Enti locali devono comunicare al Governo i propri bilanci preventivi e consuntivi, come approvati, e previsione di sanzioni in caso di mancato rispetto di tale termine.</w:t>
      </w:r>
    </w:p>
    <w:p w:rsidR="005969A7" w:rsidRDefault="004917B3" w:rsidP="0008043B">
      <w:pPr>
        <w:spacing w:before="120" w:after="120" w:line="360" w:lineRule="auto"/>
        <w:jc w:val="both"/>
        <w:rPr>
          <w:rFonts w:ascii="Bookman Old Style" w:hAnsi="Bookman Old Style"/>
          <w:sz w:val="22"/>
          <w:szCs w:val="22"/>
        </w:rPr>
      </w:pPr>
      <w:r w:rsidRPr="004917B3">
        <w:rPr>
          <w:rFonts w:ascii="Bookman Old Style" w:hAnsi="Bookman Old Style"/>
          <w:sz w:val="22"/>
          <w:szCs w:val="22"/>
        </w:rPr>
        <w:lastRenderedPageBreak/>
        <w:t>I Comuni</w:t>
      </w:r>
      <w:r>
        <w:rPr>
          <w:rFonts w:ascii="Bookman Old Style" w:hAnsi="Bookman Old Style"/>
          <w:sz w:val="22"/>
          <w:szCs w:val="22"/>
        </w:rPr>
        <w:t xml:space="preserve"> sin dal 2012 hanno preso parte alla sperimentazione dei nuovi sistemi contabili, che nel 2014 vede coinvolti ben 374 Comuni. </w:t>
      </w:r>
      <w:r w:rsidR="0008043B">
        <w:rPr>
          <w:rFonts w:ascii="Bookman Old Style" w:hAnsi="Bookman Old Style"/>
          <w:sz w:val="22"/>
          <w:szCs w:val="22"/>
        </w:rPr>
        <w:t>Nella fase di sperimentazione</w:t>
      </w:r>
      <w:r>
        <w:rPr>
          <w:rFonts w:ascii="Bookman Old Style" w:hAnsi="Bookman Old Style"/>
          <w:sz w:val="22"/>
          <w:szCs w:val="22"/>
        </w:rPr>
        <w:t xml:space="preserve"> </w:t>
      </w:r>
      <w:r w:rsidR="0008043B">
        <w:rPr>
          <w:rFonts w:ascii="Bookman Old Style" w:hAnsi="Bookman Old Style"/>
          <w:sz w:val="22"/>
          <w:szCs w:val="22"/>
        </w:rPr>
        <w:t xml:space="preserve">il contributo degli Enti </w:t>
      </w:r>
      <w:r>
        <w:rPr>
          <w:rFonts w:ascii="Bookman Old Style" w:hAnsi="Bookman Old Style"/>
          <w:sz w:val="22"/>
          <w:szCs w:val="22"/>
        </w:rPr>
        <w:t xml:space="preserve">è </w:t>
      </w:r>
      <w:r w:rsidR="0008043B">
        <w:rPr>
          <w:rFonts w:ascii="Bookman Old Style" w:hAnsi="Bookman Old Style"/>
          <w:sz w:val="22"/>
          <w:szCs w:val="22"/>
        </w:rPr>
        <w:t>stato</w:t>
      </w:r>
      <w:r>
        <w:rPr>
          <w:rFonts w:ascii="Bookman Old Style" w:hAnsi="Bookman Old Style"/>
          <w:sz w:val="22"/>
          <w:szCs w:val="22"/>
        </w:rPr>
        <w:t xml:space="preserve"> fondamentale </w:t>
      </w:r>
      <w:r w:rsidR="0008043B">
        <w:rPr>
          <w:rFonts w:ascii="Bookman Old Style" w:hAnsi="Bookman Old Style"/>
          <w:sz w:val="22"/>
          <w:szCs w:val="22"/>
        </w:rPr>
        <w:t xml:space="preserve">per la </w:t>
      </w:r>
      <w:r w:rsidR="0008043B" w:rsidRPr="003C4BE6">
        <w:rPr>
          <w:rFonts w:ascii="Bookman Old Style" w:hAnsi="Bookman Old Style"/>
          <w:sz w:val="22"/>
          <w:szCs w:val="22"/>
        </w:rPr>
        <w:t xml:space="preserve">definizione corretta degli adempimenti connessi al passaggio </w:t>
      </w:r>
      <w:r w:rsidR="0008043B">
        <w:rPr>
          <w:rFonts w:ascii="Bookman Old Style" w:hAnsi="Bookman Old Style"/>
          <w:sz w:val="22"/>
          <w:szCs w:val="22"/>
        </w:rPr>
        <w:t xml:space="preserve">dall’attuale sistema contabile a quello delineato dalla riforma. </w:t>
      </w:r>
      <w:r w:rsidR="005969A7">
        <w:rPr>
          <w:rFonts w:ascii="Bookman Old Style" w:hAnsi="Bookman Old Style"/>
          <w:sz w:val="22"/>
          <w:szCs w:val="22"/>
        </w:rPr>
        <w:t>L</w:t>
      </w:r>
      <w:r w:rsidR="0008043B">
        <w:rPr>
          <w:rFonts w:ascii="Bookman Old Style" w:hAnsi="Bookman Old Style"/>
          <w:sz w:val="22"/>
          <w:szCs w:val="22"/>
        </w:rPr>
        <w:t xml:space="preserve">’esperienza dei Comuni sperimentatori ha messo in luce il grande sforzo che viene richiesto nel passaggio </w:t>
      </w:r>
      <w:r w:rsidR="005969A7">
        <w:rPr>
          <w:rFonts w:ascii="Bookman Old Style" w:hAnsi="Bookman Old Style"/>
          <w:sz w:val="22"/>
          <w:szCs w:val="22"/>
        </w:rPr>
        <w:t xml:space="preserve">alle nuove regole contabili, </w:t>
      </w:r>
      <w:r w:rsidR="00734FAB">
        <w:rPr>
          <w:rFonts w:ascii="Bookman Old Style" w:hAnsi="Bookman Old Style"/>
          <w:sz w:val="22"/>
          <w:szCs w:val="22"/>
        </w:rPr>
        <w:t xml:space="preserve">che obbligano </w:t>
      </w:r>
      <w:r w:rsidR="005969A7">
        <w:rPr>
          <w:rFonts w:ascii="Bookman Old Style" w:hAnsi="Bookman Old Style"/>
          <w:sz w:val="22"/>
          <w:szCs w:val="22"/>
        </w:rPr>
        <w:t xml:space="preserve">gli enti </w:t>
      </w:r>
      <w:r w:rsidR="00734FAB">
        <w:rPr>
          <w:rFonts w:ascii="Bookman Old Style" w:hAnsi="Bookman Old Style"/>
          <w:sz w:val="22"/>
          <w:szCs w:val="22"/>
        </w:rPr>
        <w:t xml:space="preserve">ad attuare </w:t>
      </w:r>
      <w:r w:rsidR="005969A7">
        <w:rPr>
          <w:rFonts w:ascii="Bookman Old Style" w:hAnsi="Bookman Old Style"/>
          <w:sz w:val="22"/>
          <w:szCs w:val="22"/>
        </w:rPr>
        <w:t xml:space="preserve">pesanti revisioni dei bilanci con effetti gravosi nella gestione finanziaria. Per tale ragione si ritiene necessario </w:t>
      </w:r>
      <w:r w:rsidR="00734FAB">
        <w:rPr>
          <w:rFonts w:ascii="Bookman Old Style" w:hAnsi="Bookman Old Style"/>
          <w:sz w:val="22"/>
          <w:szCs w:val="22"/>
        </w:rPr>
        <w:t xml:space="preserve">immaginare </w:t>
      </w:r>
      <w:r w:rsidR="005969A7">
        <w:rPr>
          <w:rFonts w:ascii="Bookman Old Style" w:hAnsi="Bookman Old Style"/>
          <w:sz w:val="22"/>
          <w:szCs w:val="22"/>
        </w:rPr>
        <w:t xml:space="preserve">sin da ora, in vista dell’entrata a regime della riforma nel 2015, un percorso di accompagnamento di natura finanziaria che consenta agli enti di rendere graduale e sostenibile </w:t>
      </w:r>
      <w:r w:rsidR="00734FAB">
        <w:rPr>
          <w:rFonts w:ascii="Bookman Old Style" w:hAnsi="Bookman Old Style"/>
          <w:sz w:val="22"/>
          <w:szCs w:val="22"/>
        </w:rPr>
        <w:t xml:space="preserve">per i </w:t>
      </w:r>
      <w:r w:rsidR="005969A7">
        <w:rPr>
          <w:rFonts w:ascii="Bookman Old Style" w:hAnsi="Bookman Old Style"/>
          <w:sz w:val="22"/>
          <w:szCs w:val="22"/>
        </w:rPr>
        <w:t xml:space="preserve">bilanci l’applicazione delle nuove regole contabili. </w:t>
      </w:r>
    </w:p>
    <w:p w:rsidR="004917B3" w:rsidRPr="00B87946" w:rsidRDefault="004917B3" w:rsidP="0030460B">
      <w:pPr>
        <w:spacing w:before="60" w:after="60" w:line="420" w:lineRule="atLeast"/>
        <w:jc w:val="both"/>
        <w:outlineLvl w:val="0"/>
        <w:rPr>
          <w:rFonts w:ascii="Bookman Old Style" w:eastAsia="Arial Unicode MS" w:hAnsi="Bookman Old Style"/>
          <w:b/>
          <w:color w:val="000000"/>
          <w:sz w:val="22"/>
          <w:szCs w:val="22"/>
          <w:u w:val="single"/>
        </w:rPr>
      </w:pPr>
    </w:p>
    <w:p w:rsidR="0030460B" w:rsidRPr="00B87946" w:rsidRDefault="0030460B" w:rsidP="0030460B">
      <w:pPr>
        <w:spacing w:before="60" w:after="60" w:line="420" w:lineRule="atLeast"/>
        <w:jc w:val="both"/>
        <w:outlineLvl w:val="0"/>
        <w:rPr>
          <w:rFonts w:ascii="Bookman Old Style" w:eastAsia="Arial Unicode MS" w:hAnsi="Bookman Old Style"/>
          <w:b/>
          <w:color w:val="000000"/>
          <w:sz w:val="22"/>
          <w:szCs w:val="22"/>
          <w:u w:val="single"/>
        </w:rPr>
      </w:pPr>
      <w:r w:rsidRPr="00B87946">
        <w:rPr>
          <w:rFonts w:ascii="Bookman Old Style" w:eastAsia="Arial Unicode MS" w:hAnsi="Bookman Old Style"/>
          <w:b/>
          <w:color w:val="000000"/>
          <w:sz w:val="22"/>
          <w:szCs w:val="22"/>
          <w:u w:val="single"/>
        </w:rPr>
        <w:t>Coerentemente con le osservazioni sopra riportate, si chiede:</w:t>
      </w:r>
    </w:p>
    <w:p w:rsidR="0030460B" w:rsidRPr="00B87946" w:rsidRDefault="006A6089"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sidRPr="00B87946">
        <w:rPr>
          <w:rFonts w:ascii="Bookman Old Style" w:eastAsia="Arial Unicode MS" w:hAnsi="Bookman Old Style"/>
          <w:b/>
          <w:color w:val="000000"/>
          <w:sz w:val="22"/>
          <w:szCs w:val="22"/>
          <w:u w:val="single"/>
        </w:rPr>
        <w:t>di integrare il DEF 2014</w:t>
      </w:r>
      <w:r w:rsidR="0030460B" w:rsidRPr="00B87946">
        <w:rPr>
          <w:rFonts w:ascii="Bookman Old Style" w:eastAsia="Arial Unicode MS" w:hAnsi="Bookman Old Style"/>
          <w:b/>
          <w:color w:val="000000"/>
          <w:sz w:val="22"/>
          <w:szCs w:val="22"/>
          <w:u w:val="single"/>
        </w:rPr>
        <w:t xml:space="preserve"> con i prospetti relativi ai singoli comparti, sia in termini di analisi dei risultati conseguiti, sia con riferimento alle proiezio</w:t>
      </w:r>
      <w:r w:rsidRPr="00B87946">
        <w:rPr>
          <w:rFonts w:ascii="Bookman Old Style" w:eastAsia="Arial Unicode MS" w:hAnsi="Bookman Old Style"/>
          <w:b/>
          <w:color w:val="000000"/>
          <w:sz w:val="22"/>
          <w:szCs w:val="22"/>
          <w:u w:val="single"/>
        </w:rPr>
        <w:t>ni te</w:t>
      </w:r>
      <w:r w:rsidR="00B87946">
        <w:rPr>
          <w:rFonts w:ascii="Bookman Old Style" w:eastAsia="Arial Unicode MS" w:hAnsi="Bookman Old Style"/>
          <w:b/>
          <w:color w:val="000000"/>
          <w:sz w:val="22"/>
          <w:szCs w:val="22"/>
          <w:u w:val="single"/>
        </w:rPr>
        <w:t>ndenziali per gli anni 2014-2018</w:t>
      </w:r>
      <w:r w:rsidR="0030460B" w:rsidRPr="00B87946">
        <w:rPr>
          <w:rFonts w:ascii="Bookman Old Style" w:eastAsia="Arial Unicode MS" w:hAnsi="Bookman Old Style"/>
          <w:b/>
          <w:color w:val="000000"/>
          <w:sz w:val="22"/>
          <w:szCs w:val="22"/>
          <w:u w:val="single"/>
        </w:rPr>
        <w:t>;</w:t>
      </w:r>
    </w:p>
    <w:p w:rsidR="0030460B" w:rsidRPr="00B87946" w:rsidRDefault="0030460B"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sidRPr="00B87946">
        <w:rPr>
          <w:rFonts w:ascii="Bookman Old Style" w:eastAsia="Arial Unicode MS" w:hAnsi="Bookman Old Style"/>
          <w:b/>
          <w:color w:val="000000"/>
          <w:sz w:val="22"/>
          <w:szCs w:val="22"/>
          <w:u w:val="single"/>
        </w:rPr>
        <w:t>di esplicitare la distribuzione della manovra di bilancio per singolo comparto, la valutazione dei contributi forniti al risanamento e l’impatto sui pesi relativi all’interno della Pubblica Amministrazione;</w:t>
      </w:r>
    </w:p>
    <w:p w:rsidR="0030460B" w:rsidRDefault="0030460B"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sidRPr="00B87946">
        <w:rPr>
          <w:rFonts w:ascii="Bookman Old Style" w:eastAsia="Arial Unicode MS" w:hAnsi="Bookman Old Style"/>
          <w:b/>
          <w:color w:val="000000"/>
          <w:sz w:val="22"/>
          <w:szCs w:val="22"/>
          <w:u w:val="single"/>
        </w:rPr>
        <w:t xml:space="preserve">di fornire una valutazione del grado di sostenibilità </w:t>
      </w:r>
      <w:r w:rsidR="005077C5">
        <w:rPr>
          <w:rFonts w:ascii="Bookman Old Style" w:eastAsia="Arial Unicode MS" w:hAnsi="Bookman Old Style"/>
          <w:b/>
          <w:color w:val="000000"/>
          <w:sz w:val="22"/>
          <w:szCs w:val="22"/>
          <w:u w:val="single"/>
        </w:rPr>
        <w:t xml:space="preserve">ed equità </w:t>
      </w:r>
      <w:r w:rsidRPr="00B87946">
        <w:rPr>
          <w:rFonts w:ascii="Bookman Old Style" w:eastAsia="Arial Unicode MS" w:hAnsi="Bookman Old Style"/>
          <w:b/>
          <w:color w:val="000000"/>
          <w:sz w:val="22"/>
          <w:szCs w:val="22"/>
          <w:u w:val="single"/>
        </w:rPr>
        <w:t>della manovra per ciascun comparto, proponendo appositi strumenti e indicatori;</w:t>
      </w:r>
    </w:p>
    <w:p w:rsidR="005077C5" w:rsidRPr="00B87946" w:rsidRDefault="005077C5"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Pr>
          <w:rFonts w:ascii="Bookman Old Style" w:eastAsia="Arial Unicode MS" w:hAnsi="Bookman Old Style"/>
          <w:b/>
          <w:color w:val="000000"/>
          <w:sz w:val="22"/>
          <w:szCs w:val="22"/>
          <w:u w:val="single"/>
        </w:rPr>
        <w:t>di avviare un immediato confronto per assegnare l’intera imposizione immobiliare ai Comuni dal 2015, e dare gli strumenti e le procedure per gestire in modo efficiente il sistema catastale;</w:t>
      </w:r>
    </w:p>
    <w:p w:rsidR="0030460B" w:rsidRPr="00B87946" w:rsidRDefault="0030460B"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sidRPr="00B87946">
        <w:rPr>
          <w:rFonts w:ascii="Bookman Old Style" w:eastAsia="Arial Unicode MS" w:hAnsi="Bookman Old Style"/>
          <w:b/>
          <w:color w:val="000000"/>
          <w:sz w:val="22"/>
          <w:szCs w:val="22"/>
          <w:u w:val="single"/>
        </w:rPr>
        <w:t>di individuare una soluzione certa e definitiva dei problemi posti dai Comuni in relazion</w:t>
      </w:r>
      <w:r w:rsidR="0021225D" w:rsidRPr="00B87946">
        <w:rPr>
          <w:rFonts w:ascii="Bookman Old Style" w:eastAsia="Arial Unicode MS" w:hAnsi="Bookman Old Style"/>
          <w:b/>
          <w:color w:val="000000"/>
          <w:sz w:val="22"/>
          <w:szCs w:val="22"/>
          <w:u w:val="single"/>
        </w:rPr>
        <w:t>e al Patto di stabilità interno</w:t>
      </w:r>
      <w:r w:rsidR="005077C5">
        <w:rPr>
          <w:rFonts w:ascii="Bookman Old Style" w:eastAsia="Arial Unicode MS" w:hAnsi="Bookman Old Style"/>
          <w:b/>
          <w:color w:val="000000"/>
          <w:sz w:val="22"/>
          <w:szCs w:val="22"/>
          <w:u w:val="single"/>
        </w:rPr>
        <w:t xml:space="preserve"> garantendo una sua revisione a partire dal 2015</w:t>
      </w:r>
      <w:r w:rsidR="00E53374">
        <w:rPr>
          <w:rFonts w:ascii="Bookman Old Style" w:eastAsia="Arial Unicode MS" w:hAnsi="Bookman Old Style"/>
          <w:b/>
          <w:color w:val="000000"/>
          <w:sz w:val="22"/>
          <w:szCs w:val="22"/>
          <w:u w:val="single"/>
        </w:rPr>
        <w:t>;</w:t>
      </w:r>
    </w:p>
    <w:p w:rsidR="0021225D" w:rsidRPr="00E53374" w:rsidRDefault="0021225D" w:rsidP="00C662F6">
      <w:pPr>
        <w:widowControl/>
        <w:numPr>
          <w:ilvl w:val="0"/>
          <w:numId w:val="3"/>
        </w:numPr>
        <w:autoSpaceDN/>
        <w:spacing w:before="60" w:after="60" w:line="420" w:lineRule="atLeast"/>
        <w:ind w:left="720" w:hanging="360"/>
        <w:jc w:val="both"/>
        <w:textAlignment w:val="auto"/>
        <w:outlineLvl w:val="0"/>
        <w:rPr>
          <w:rFonts w:ascii="Bookman Old Style" w:eastAsia="Arial Unicode MS" w:hAnsi="Bookman Old Style"/>
          <w:b/>
          <w:color w:val="000000"/>
          <w:sz w:val="22"/>
          <w:szCs w:val="22"/>
          <w:u w:val="single"/>
        </w:rPr>
      </w:pPr>
      <w:r w:rsidRPr="00B87946">
        <w:rPr>
          <w:rFonts w:ascii="Bookman Old Style" w:hAnsi="Bookman Old Style"/>
          <w:b/>
          <w:sz w:val="22"/>
          <w:szCs w:val="22"/>
          <w:u w:val="single"/>
        </w:rPr>
        <w:t>di porre sin d’ora la questione dell’utilizzo dei fabbisogni standard per finalità diverse da quella della costruzione di un efficiente ed equo modello di perequ</w:t>
      </w:r>
      <w:r w:rsidR="00E53374">
        <w:rPr>
          <w:rFonts w:ascii="Bookman Old Style" w:hAnsi="Bookman Old Style"/>
          <w:b/>
          <w:sz w:val="22"/>
          <w:szCs w:val="22"/>
          <w:u w:val="single"/>
        </w:rPr>
        <w:t>azione delle risorse dei Comuni;</w:t>
      </w:r>
    </w:p>
    <w:p w:rsidR="00E53374" w:rsidRDefault="00E53374" w:rsidP="00E53374">
      <w:pPr>
        <w:widowControl/>
        <w:numPr>
          <w:ilvl w:val="0"/>
          <w:numId w:val="3"/>
        </w:numPr>
        <w:autoSpaceDN/>
        <w:spacing w:before="60" w:after="60" w:line="420" w:lineRule="atLeast"/>
        <w:ind w:left="720" w:hanging="360"/>
        <w:jc w:val="both"/>
        <w:textAlignment w:val="auto"/>
        <w:outlineLvl w:val="0"/>
        <w:rPr>
          <w:rFonts w:ascii="Bookman Old Style" w:hAnsi="Bookman Old Style"/>
          <w:b/>
          <w:sz w:val="22"/>
          <w:szCs w:val="22"/>
          <w:u w:val="single"/>
        </w:rPr>
      </w:pPr>
      <w:r>
        <w:rPr>
          <w:rFonts w:ascii="Bookman Old Style" w:hAnsi="Bookman Old Style"/>
          <w:b/>
          <w:sz w:val="22"/>
          <w:szCs w:val="22"/>
          <w:u w:val="single"/>
        </w:rPr>
        <w:t>di prevedere</w:t>
      </w:r>
      <w:r w:rsidRPr="00E53374">
        <w:rPr>
          <w:rFonts w:ascii="Bookman Old Style" w:hAnsi="Bookman Old Style"/>
          <w:b/>
          <w:sz w:val="22"/>
          <w:szCs w:val="22"/>
          <w:u w:val="single"/>
        </w:rPr>
        <w:t xml:space="preserve">, in vista dell’entrata a regime </w:t>
      </w:r>
      <w:r w:rsidR="009C0920" w:rsidRPr="00E53374">
        <w:rPr>
          <w:rFonts w:ascii="Bookman Old Style" w:hAnsi="Bookman Old Style"/>
          <w:b/>
          <w:sz w:val="22"/>
          <w:szCs w:val="22"/>
          <w:u w:val="single"/>
        </w:rPr>
        <w:t>nel 2015</w:t>
      </w:r>
      <w:r w:rsidR="009C0920">
        <w:rPr>
          <w:rFonts w:ascii="Bookman Old Style" w:hAnsi="Bookman Old Style"/>
          <w:b/>
          <w:sz w:val="22"/>
          <w:szCs w:val="22"/>
          <w:u w:val="single"/>
        </w:rPr>
        <w:t xml:space="preserve"> </w:t>
      </w:r>
      <w:r w:rsidRPr="00E53374">
        <w:rPr>
          <w:rFonts w:ascii="Bookman Old Style" w:hAnsi="Bookman Old Style"/>
          <w:b/>
          <w:sz w:val="22"/>
          <w:szCs w:val="22"/>
          <w:u w:val="single"/>
        </w:rPr>
        <w:t xml:space="preserve">della riforma </w:t>
      </w:r>
      <w:r>
        <w:rPr>
          <w:rFonts w:ascii="Bookman Old Style" w:hAnsi="Bookman Old Style"/>
          <w:b/>
          <w:sz w:val="22"/>
          <w:szCs w:val="22"/>
          <w:u w:val="single"/>
        </w:rPr>
        <w:t>della contabilità</w:t>
      </w:r>
      <w:r w:rsidRPr="00E53374">
        <w:rPr>
          <w:rFonts w:ascii="Bookman Old Style" w:hAnsi="Bookman Old Style"/>
          <w:b/>
          <w:sz w:val="22"/>
          <w:szCs w:val="22"/>
          <w:u w:val="single"/>
        </w:rPr>
        <w:t>, un percorso di accompagnamento di natura finanziaria che consenta agli enti di rendere graduale e sostenibile per i bilanci l’applicazion</w:t>
      </w:r>
      <w:r w:rsidR="005077C5">
        <w:rPr>
          <w:rFonts w:ascii="Bookman Old Style" w:hAnsi="Bookman Old Style"/>
          <w:b/>
          <w:sz w:val="22"/>
          <w:szCs w:val="22"/>
          <w:u w:val="single"/>
        </w:rPr>
        <w:t>e delle nuove regole contabili;</w:t>
      </w:r>
    </w:p>
    <w:p w:rsidR="005077C5" w:rsidRDefault="005077C5" w:rsidP="00E53374">
      <w:pPr>
        <w:widowControl/>
        <w:numPr>
          <w:ilvl w:val="0"/>
          <w:numId w:val="3"/>
        </w:numPr>
        <w:autoSpaceDN/>
        <w:spacing w:before="60" w:after="60" w:line="420" w:lineRule="atLeast"/>
        <w:ind w:left="720" w:hanging="360"/>
        <w:jc w:val="both"/>
        <w:textAlignment w:val="auto"/>
        <w:outlineLvl w:val="0"/>
        <w:rPr>
          <w:rFonts w:ascii="Bookman Old Style" w:hAnsi="Bookman Old Style"/>
          <w:b/>
          <w:sz w:val="22"/>
          <w:szCs w:val="22"/>
          <w:u w:val="single"/>
        </w:rPr>
      </w:pPr>
      <w:r>
        <w:rPr>
          <w:rFonts w:ascii="Bookman Old Style" w:hAnsi="Bookman Old Style"/>
          <w:b/>
          <w:sz w:val="22"/>
          <w:szCs w:val="22"/>
          <w:u w:val="single"/>
        </w:rPr>
        <w:lastRenderedPageBreak/>
        <w:t>di promuovere una gestione efficiente dei servizi pubblici locali, predisponendo un sistema di regole che incentivi i processi di aggregazione e di graduale razionalizzazione;</w:t>
      </w:r>
    </w:p>
    <w:p w:rsidR="005077C5" w:rsidRPr="00E53374" w:rsidRDefault="005077C5" w:rsidP="00E53374">
      <w:pPr>
        <w:widowControl/>
        <w:numPr>
          <w:ilvl w:val="0"/>
          <w:numId w:val="3"/>
        </w:numPr>
        <w:autoSpaceDN/>
        <w:spacing w:before="60" w:after="60" w:line="420" w:lineRule="atLeast"/>
        <w:ind w:left="720" w:hanging="360"/>
        <w:jc w:val="both"/>
        <w:textAlignment w:val="auto"/>
        <w:outlineLvl w:val="0"/>
        <w:rPr>
          <w:rFonts w:ascii="Bookman Old Style" w:hAnsi="Bookman Old Style"/>
          <w:b/>
          <w:sz w:val="22"/>
          <w:szCs w:val="22"/>
          <w:u w:val="single"/>
        </w:rPr>
      </w:pPr>
      <w:r>
        <w:rPr>
          <w:rFonts w:ascii="Bookman Old Style" w:hAnsi="Bookman Old Style"/>
          <w:b/>
          <w:sz w:val="22"/>
          <w:szCs w:val="22"/>
          <w:u w:val="single"/>
        </w:rPr>
        <w:t>di definire risorse congrue e procedure rapide per l’attuazione del Piano per l’edilizia scolastica e del Piano Casa.</w:t>
      </w:r>
    </w:p>
    <w:p w:rsidR="00E53374" w:rsidRPr="00B87946" w:rsidRDefault="00E53374" w:rsidP="00E53374">
      <w:pPr>
        <w:widowControl/>
        <w:autoSpaceDN/>
        <w:spacing w:before="60" w:after="60" w:line="420" w:lineRule="atLeast"/>
        <w:ind w:left="720"/>
        <w:jc w:val="both"/>
        <w:textAlignment w:val="auto"/>
        <w:outlineLvl w:val="0"/>
        <w:rPr>
          <w:rFonts w:ascii="Bookman Old Style" w:eastAsia="Arial Unicode MS" w:hAnsi="Bookman Old Style"/>
          <w:b/>
          <w:color w:val="000000"/>
          <w:sz w:val="22"/>
          <w:szCs w:val="22"/>
          <w:u w:val="single"/>
        </w:rPr>
      </w:pPr>
    </w:p>
    <w:p w:rsidR="0021225D" w:rsidRPr="00B87946" w:rsidRDefault="0021225D" w:rsidP="0021225D">
      <w:pPr>
        <w:widowControl/>
        <w:autoSpaceDN/>
        <w:spacing w:before="60" w:after="60" w:line="420" w:lineRule="atLeast"/>
        <w:ind w:left="720"/>
        <w:jc w:val="both"/>
        <w:textAlignment w:val="auto"/>
        <w:outlineLvl w:val="0"/>
        <w:rPr>
          <w:rFonts w:ascii="Bookman Old Style" w:eastAsia="Arial Unicode MS" w:hAnsi="Bookman Old Style"/>
          <w:b/>
          <w:color w:val="000000"/>
          <w:sz w:val="22"/>
          <w:szCs w:val="22"/>
          <w:u w:val="single"/>
        </w:rPr>
      </w:pPr>
    </w:p>
    <w:p w:rsidR="0030460B" w:rsidRPr="0030460B" w:rsidRDefault="0030460B" w:rsidP="0030460B">
      <w:pPr>
        <w:spacing w:before="60" w:after="60" w:line="420" w:lineRule="atLeast"/>
        <w:jc w:val="both"/>
        <w:rPr>
          <w:rFonts w:ascii="Bookman Old Style" w:hAnsi="Bookman Old Style"/>
          <w:b/>
          <w:sz w:val="22"/>
          <w:szCs w:val="22"/>
          <w:u w:val="single"/>
        </w:rPr>
      </w:pPr>
    </w:p>
    <w:sectPr w:rsidR="0030460B" w:rsidRPr="0030460B" w:rsidSect="00B87946">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86" w:rsidRDefault="00C57986" w:rsidP="00564350">
      <w:r>
        <w:separator/>
      </w:r>
    </w:p>
  </w:endnote>
  <w:endnote w:type="continuationSeparator" w:id="0">
    <w:p w:rsidR="00C57986" w:rsidRDefault="00C57986" w:rsidP="0056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3065"/>
      <w:docPartObj>
        <w:docPartGallery w:val="Page Numbers (Bottom of Page)"/>
        <w:docPartUnique/>
      </w:docPartObj>
    </w:sdtPr>
    <w:sdtEndPr/>
    <w:sdtContent>
      <w:p w:rsidR="00915713" w:rsidRDefault="00915713">
        <w:pPr>
          <w:pStyle w:val="Pidipagina"/>
          <w:jc w:val="center"/>
        </w:pPr>
        <w:r>
          <w:fldChar w:fldCharType="begin"/>
        </w:r>
        <w:r>
          <w:instrText>PAGE   \* MERGEFORMAT</w:instrText>
        </w:r>
        <w:r>
          <w:fldChar w:fldCharType="separate"/>
        </w:r>
        <w:r w:rsidR="006D016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528821"/>
      <w:docPartObj>
        <w:docPartGallery w:val="Page Numbers (Bottom of Page)"/>
        <w:docPartUnique/>
      </w:docPartObj>
    </w:sdtPr>
    <w:sdtEndPr/>
    <w:sdtContent>
      <w:p w:rsidR="00915713" w:rsidRDefault="00C57986">
        <w:pPr>
          <w:pStyle w:val="Pidipagina"/>
          <w:jc w:val="center"/>
        </w:pPr>
      </w:p>
    </w:sdtContent>
  </w:sdt>
  <w:p w:rsidR="00915713" w:rsidRDefault="0091571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130858"/>
      <w:docPartObj>
        <w:docPartGallery w:val="Page Numbers (Bottom of Page)"/>
        <w:docPartUnique/>
      </w:docPartObj>
    </w:sdtPr>
    <w:sdtEndPr/>
    <w:sdtContent>
      <w:p w:rsidR="00915713" w:rsidRDefault="00915713">
        <w:pPr>
          <w:pStyle w:val="Pidipagina"/>
          <w:jc w:val="center"/>
        </w:pPr>
        <w:r>
          <w:fldChar w:fldCharType="begin"/>
        </w:r>
        <w:r>
          <w:instrText>PAGE   \* MERGEFORMAT</w:instrText>
        </w:r>
        <w:r>
          <w:fldChar w:fldCharType="separate"/>
        </w:r>
        <w:r w:rsidR="006D0167">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86" w:rsidRDefault="00C57986" w:rsidP="00564350">
      <w:r>
        <w:separator/>
      </w:r>
    </w:p>
  </w:footnote>
  <w:footnote w:type="continuationSeparator" w:id="0">
    <w:p w:rsidR="00C57986" w:rsidRDefault="00C57986" w:rsidP="00564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B2694"/>
    <w:multiLevelType w:val="multilevel"/>
    <w:tmpl w:val="6902EA6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5F5E1C"/>
    <w:multiLevelType w:val="hybridMultilevel"/>
    <w:tmpl w:val="2B968B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E9"/>
    <w:rsid w:val="00027D4D"/>
    <w:rsid w:val="000417FC"/>
    <w:rsid w:val="00057E41"/>
    <w:rsid w:val="000725EC"/>
    <w:rsid w:val="0008043B"/>
    <w:rsid w:val="000C2B8C"/>
    <w:rsid w:val="00117D99"/>
    <w:rsid w:val="001368CC"/>
    <w:rsid w:val="001741E4"/>
    <w:rsid w:val="0021225D"/>
    <w:rsid w:val="00234D1F"/>
    <w:rsid w:val="002B07C8"/>
    <w:rsid w:val="002B2C6B"/>
    <w:rsid w:val="002C3453"/>
    <w:rsid w:val="0030460B"/>
    <w:rsid w:val="0033565F"/>
    <w:rsid w:val="00347BA1"/>
    <w:rsid w:val="003C3667"/>
    <w:rsid w:val="00490AFC"/>
    <w:rsid w:val="004917B3"/>
    <w:rsid w:val="004A2522"/>
    <w:rsid w:val="004B4847"/>
    <w:rsid w:val="004D5657"/>
    <w:rsid w:val="005077C5"/>
    <w:rsid w:val="00564350"/>
    <w:rsid w:val="005959C5"/>
    <w:rsid w:val="005969A7"/>
    <w:rsid w:val="005A3877"/>
    <w:rsid w:val="005B2D88"/>
    <w:rsid w:val="005C5501"/>
    <w:rsid w:val="00651E20"/>
    <w:rsid w:val="00671A2A"/>
    <w:rsid w:val="00684103"/>
    <w:rsid w:val="006A32D2"/>
    <w:rsid w:val="006A4B19"/>
    <w:rsid w:val="006A6089"/>
    <w:rsid w:val="006D0167"/>
    <w:rsid w:val="00734FAB"/>
    <w:rsid w:val="00755DC3"/>
    <w:rsid w:val="00811076"/>
    <w:rsid w:val="00837019"/>
    <w:rsid w:val="008548BC"/>
    <w:rsid w:val="00887CE9"/>
    <w:rsid w:val="008B761F"/>
    <w:rsid w:val="008D5230"/>
    <w:rsid w:val="008E61ED"/>
    <w:rsid w:val="00915713"/>
    <w:rsid w:val="00931BB8"/>
    <w:rsid w:val="00953716"/>
    <w:rsid w:val="0097691D"/>
    <w:rsid w:val="00982D96"/>
    <w:rsid w:val="009A618F"/>
    <w:rsid w:val="009B7195"/>
    <w:rsid w:val="009C0920"/>
    <w:rsid w:val="00A17005"/>
    <w:rsid w:val="00A50EB3"/>
    <w:rsid w:val="00AF7B00"/>
    <w:rsid w:val="00B11C72"/>
    <w:rsid w:val="00B87946"/>
    <w:rsid w:val="00C57986"/>
    <w:rsid w:val="00C662F6"/>
    <w:rsid w:val="00CC7878"/>
    <w:rsid w:val="00D138A3"/>
    <w:rsid w:val="00D313D2"/>
    <w:rsid w:val="00DF2A77"/>
    <w:rsid w:val="00DF7732"/>
    <w:rsid w:val="00E31A0D"/>
    <w:rsid w:val="00E53374"/>
    <w:rsid w:val="00E82F9F"/>
    <w:rsid w:val="00EC393C"/>
    <w:rsid w:val="00F53B2A"/>
    <w:rsid w:val="00F54046"/>
    <w:rsid w:val="00FF71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6DF6B9-B83F-449F-806A-BDB8F9C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87CE9"/>
    <w:pPr>
      <w:widowControl w:val="0"/>
      <w:autoSpaceDN w:val="0"/>
      <w:textAlignment w:val="baseline"/>
    </w:pPr>
    <w:rPr>
      <w:rFonts w:ascii="Times New Roman" w:hAnsi="Times New Roman" w:cs="Calibri"/>
      <w:kern w:val="3"/>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87CE9"/>
    <w:pPr>
      <w:tabs>
        <w:tab w:val="center" w:pos="4819"/>
        <w:tab w:val="right" w:pos="9638"/>
      </w:tabs>
    </w:pPr>
  </w:style>
  <w:style w:type="character" w:customStyle="1" w:styleId="PidipaginaCarattere">
    <w:name w:val="Piè di pagina Carattere"/>
    <w:basedOn w:val="Carpredefinitoparagrafo"/>
    <w:link w:val="Pidipagina"/>
    <w:uiPriority w:val="99"/>
    <w:rsid w:val="00887CE9"/>
    <w:rPr>
      <w:rFonts w:ascii="Times New Roman" w:hAnsi="Times New Roman" w:cs="Calibri"/>
      <w:kern w:val="3"/>
      <w:sz w:val="20"/>
      <w:szCs w:val="20"/>
    </w:rPr>
  </w:style>
  <w:style w:type="paragraph" w:styleId="Testofumetto">
    <w:name w:val="Balloon Text"/>
    <w:basedOn w:val="Normale"/>
    <w:link w:val="TestofumettoCarattere"/>
    <w:uiPriority w:val="99"/>
    <w:semiHidden/>
    <w:unhideWhenUsed/>
    <w:rsid w:val="00887C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E9"/>
    <w:rPr>
      <w:rFonts w:ascii="Tahoma" w:hAnsi="Tahoma" w:cs="Tahoma"/>
      <w:kern w:val="3"/>
      <w:sz w:val="16"/>
      <w:szCs w:val="16"/>
    </w:rPr>
  </w:style>
  <w:style w:type="paragraph" w:customStyle="1" w:styleId="List0">
    <w:name w:val="List 0"/>
    <w:basedOn w:val="Normale"/>
    <w:semiHidden/>
    <w:rsid w:val="0030460B"/>
    <w:pPr>
      <w:widowControl/>
      <w:tabs>
        <w:tab w:val="num" w:pos="360"/>
      </w:tabs>
      <w:autoSpaceDN/>
      <w:textAlignment w:val="auto"/>
    </w:pPr>
    <w:rPr>
      <w:rFonts w:eastAsia="Times New Roman" w:cs="Times New Roman"/>
      <w:kern w:val="0"/>
      <w:lang w:eastAsia="it-IT"/>
    </w:rPr>
  </w:style>
  <w:style w:type="paragraph" w:styleId="NormaleWeb">
    <w:name w:val="Normal (Web)"/>
    <w:basedOn w:val="Normale"/>
    <w:uiPriority w:val="99"/>
    <w:unhideWhenUsed/>
    <w:rsid w:val="00B87946"/>
    <w:pPr>
      <w:widowControl/>
      <w:autoSpaceDN/>
      <w:spacing w:before="100" w:beforeAutospacing="1" w:after="100" w:afterAutospacing="1"/>
      <w:textAlignment w:val="auto"/>
    </w:pPr>
    <w:rPr>
      <w:rFonts w:eastAsiaTheme="minorEastAsia" w:cs="Times New Roman"/>
      <w:kern w:val="0"/>
      <w:sz w:val="24"/>
      <w:szCs w:val="24"/>
      <w:lang w:eastAsia="it-IT"/>
    </w:rPr>
  </w:style>
  <w:style w:type="paragraph" w:styleId="Intestazione">
    <w:name w:val="header"/>
    <w:basedOn w:val="Normale"/>
    <w:link w:val="IntestazioneCarattere"/>
    <w:uiPriority w:val="99"/>
    <w:unhideWhenUsed/>
    <w:rsid w:val="00915713"/>
    <w:pPr>
      <w:tabs>
        <w:tab w:val="center" w:pos="4819"/>
        <w:tab w:val="right" w:pos="9638"/>
      </w:tabs>
    </w:pPr>
  </w:style>
  <w:style w:type="character" w:customStyle="1" w:styleId="IntestazioneCarattere">
    <w:name w:val="Intestazione Carattere"/>
    <w:basedOn w:val="Carpredefinitoparagrafo"/>
    <w:link w:val="Intestazione"/>
    <w:uiPriority w:val="99"/>
    <w:rsid w:val="00915713"/>
    <w:rPr>
      <w:rFonts w:ascii="Times New Roman" w:hAnsi="Times New Roman" w:cs="Calibri"/>
      <w:kern w:val="3"/>
      <w:lang w:eastAsia="en-US"/>
    </w:rPr>
  </w:style>
  <w:style w:type="paragraph" w:customStyle="1" w:styleId="Paragrafoelenco1">
    <w:name w:val="Paragrafo elenco1"/>
    <w:basedOn w:val="Normale"/>
    <w:rsid w:val="004917B3"/>
    <w:pPr>
      <w:widowControl/>
      <w:autoSpaceDN/>
      <w:ind w:left="720"/>
      <w:contextualSpacing/>
      <w:textAlignment w:val="auto"/>
    </w:pPr>
    <w:rPr>
      <w:rFonts w:eastAsia="Times New Roman" w:cs="Times New Roman"/>
      <w:kern w:val="0"/>
      <w:sz w:val="24"/>
      <w:szCs w:val="24"/>
      <w:lang w:eastAsia="it-IT"/>
    </w:rPr>
  </w:style>
  <w:style w:type="paragraph" w:styleId="Paragrafoelenco">
    <w:name w:val="List Paragraph"/>
    <w:basedOn w:val="Normale"/>
    <w:uiPriority w:val="34"/>
    <w:qFormat/>
    <w:rsid w:val="00E5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981">
      <w:bodyDiv w:val="1"/>
      <w:marLeft w:val="0"/>
      <w:marRight w:val="0"/>
      <w:marTop w:val="0"/>
      <w:marBottom w:val="0"/>
      <w:divBdr>
        <w:top w:val="none" w:sz="0" w:space="0" w:color="auto"/>
        <w:left w:val="none" w:sz="0" w:space="0" w:color="auto"/>
        <w:bottom w:val="none" w:sz="0" w:space="0" w:color="auto"/>
        <w:right w:val="none" w:sz="0" w:space="0" w:color="auto"/>
      </w:divBdr>
    </w:div>
    <w:div w:id="279773461">
      <w:bodyDiv w:val="1"/>
      <w:marLeft w:val="0"/>
      <w:marRight w:val="0"/>
      <w:marTop w:val="0"/>
      <w:marBottom w:val="0"/>
      <w:divBdr>
        <w:top w:val="none" w:sz="0" w:space="0" w:color="auto"/>
        <w:left w:val="none" w:sz="0" w:space="0" w:color="auto"/>
        <w:bottom w:val="none" w:sz="0" w:space="0" w:color="auto"/>
        <w:right w:val="none" w:sz="0" w:space="0" w:color="auto"/>
      </w:divBdr>
    </w:div>
    <w:div w:id="1467508570">
      <w:bodyDiv w:val="1"/>
      <w:marLeft w:val="0"/>
      <w:marRight w:val="0"/>
      <w:marTop w:val="0"/>
      <w:marBottom w:val="0"/>
      <w:divBdr>
        <w:top w:val="none" w:sz="0" w:space="0" w:color="auto"/>
        <w:left w:val="none" w:sz="0" w:space="0" w:color="auto"/>
        <w:bottom w:val="none" w:sz="0" w:space="0" w:color="auto"/>
        <w:right w:val="none" w:sz="0" w:space="0" w:color="auto"/>
      </w:divBdr>
    </w:div>
    <w:div w:id="18755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ati\istat\conto%20economico\2012\presentazion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roella\Dropbox%20(lefi)\DOC%20DEFINITIVI\NUMERI_DOCUMENTO_TEMI_APERT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roella\Dropbox%20(lefi)\DOC%20DEFINITIVI\NUMERI_DOCUMENTO_TEMI_APER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pPr>
            <a:r>
              <a:rPr lang="it-IT" sz="1400"/>
              <a:t>Spese totali* - Peso di comparto anno 2012</a:t>
            </a:r>
          </a:p>
        </c:rich>
      </c:tx>
      <c:overlay val="0"/>
    </c:title>
    <c:autoTitleDeleted val="0"/>
    <c:view3D>
      <c:rotX val="30"/>
      <c:rotY val="30"/>
      <c:rAngAx val="0"/>
    </c:view3D>
    <c:floor>
      <c:thickness val="0"/>
    </c:floor>
    <c:sideWall>
      <c:thickness val="0"/>
    </c:sideWall>
    <c:backWall>
      <c:thickness val="0"/>
    </c:backWall>
    <c:plotArea>
      <c:layout>
        <c:manualLayout>
          <c:layoutTarget val="inner"/>
          <c:xMode val="edge"/>
          <c:yMode val="edge"/>
          <c:x val="0.11902818991097899"/>
          <c:y val="0.190735245631388"/>
          <c:w val="0.79020771513353205"/>
          <c:h val="0.77031816683151899"/>
        </c:manualLayout>
      </c:layout>
      <c:pie3DChart>
        <c:varyColors val="1"/>
        <c:ser>
          <c:idx val="0"/>
          <c:order val="0"/>
          <c:explosion val="22"/>
          <c:dPt>
            <c:idx val="0"/>
            <c:bubble3D val="0"/>
            <c:explosion val="23"/>
          </c:dPt>
          <c:dPt>
            <c:idx val="4"/>
            <c:bubble3D val="0"/>
            <c:explosion val="55"/>
            <c:spPr>
              <a:solidFill>
                <a:srgbClr val="C00000"/>
              </a:solidFill>
            </c:spPr>
          </c:dPt>
          <c:dLbls>
            <c:dLbl>
              <c:idx val="0"/>
              <c:layout>
                <c:manualLayout>
                  <c:x val="4.10675312714553E-2"/>
                  <c:y val="0.28417925903837599"/>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2650586736691499"/>
                  <c:y val="-8.5448200997193594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7.7933238091124804E-2"/>
                  <c:y val="2.2190997915642299E-2"/>
                </c:manualLayout>
              </c:layout>
              <c:tx>
                <c:rich>
                  <a:bodyPr/>
                  <a:lstStyle/>
                  <a:p>
                    <a:r>
                      <a:rPr lang="en-US" sz="1100" dirty="0" smtClean="0"/>
                      <a:t> </a:t>
                    </a:r>
                    <a:r>
                      <a:rPr lang="en-US" dirty="0" smtClean="0"/>
                      <a:t> </a:t>
                    </a:r>
                    <a:r>
                      <a:rPr lang="en-US" dirty="0" err="1" smtClean="0"/>
                      <a:t>Regioni</a:t>
                    </a:r>
                    <a:r>
                      <a:rPr lang="en-US" dirty="0" smtClean="0"/>
                      <a:t> e </a:t>
                    </a:r>
                    <a:r>
                      <a:rPr lang="en-US" dirty="0" err="1" smtClean="0"/>
                      <a:t>sanità</a:t>
                    </a:r>
                    <a:r>
                      <a:rPr lang="en-US" dirty="0" smtClean="0"/>
                      <a:t>; </a:t>
                    </a:r>
                    <a:r>
                      <a:rPr lang="en-US" dirty="0"/>
                      <a:t>18,0%</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7.9823898890659398E-2"/>
                  <c:y val="-1.53176157066332E-3"/>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9.9126530602828805E-2"/>
                  <c:y val="-4.4395666552316901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0.102164634877027"/>
                  <c:y val="2.06867913920596E-2"/>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8407640949554899"/>
                  <c:y val="-1.6656775469831901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it-IT"/>
              </a:p>
            </c:txPr>
            <c:showLegendKey val="0"/>
            <c:showVal val="1"/>
            <c:showCatName val="1"/>
            <c:showSerName val="0"/>
            <c:showPercent val="0"/>
            <c:showBubbleSize val="0"/>
            <c:showLeaderLines val="1"/>
            <c:extLst>
              <c:ext xmlns:c15="http://schemas.microsoft.com/office/drawing/2012/chart" uri="{CE6537A1-D6FC-4f65-9D91-7224C49458BB}"/>
            </c:extLst>
          </c:dLbls>
          <c:cat>
            <c:strRef>
              <c:f>'spese totali'!$A$47:$A$52</c:f>
              <c:strCache>
                <c:ptCount val="6"/>
                <c:pt idx="0">
                  <c:v>   Stato</c:v>
                </c:pt>
                <c:pt idx="1">
                  <c:v>   Enti di previdenza</c:v>
                </c:pt>
                <c:pt idx="2">
                  <c:v>   Regioni</c:v>
                </c:pt>
                <c:pt idx="3">
                  <c:v>   Province</c:v>
                </c:pt>
                <c:pt idx="4">
                  <c:v>   Comuni</c:v>
                </c:pt>
                <c:pt idx="5">
                  <c:v>   Altre Amministrazioni locali e centrali</c:v>
                </c:pt>
              </c:strCache>
            </c:strRef>
          </c:cat>
          <c:val>
            <c:numRef>
              <c:f>'spese totali'!$G$47:$G$52</c:f>
              <c:numCache>
                <c:formatCode>0.0%</c:formatCode>
                <c:ptCount val="6"/>
                <c:pt idx="0">
                  <c:v>0.29922819411391999</c:v>
                </c:pt>
                <c:pt idx="1">
                  <c:v>0.38980812117402402</c:v>
                </c:pt>
                <c:pt idx="2">
                  <c:v>0.18005602702069001</c:v>
                </c:pt>
                <c:pt idx="3">
                  <c:v>1.32708704393856E-2</c:v>
                </c:pt>
                <c:pt idx="4">
                  <c:v>7.5591576489605294E-2</c:v>
                </c:pt>
                <c:pt idx="5">
                  <c:v>4.2045210762376599E-2</c:v>
                </c:pt>
              </c:numCache>
            </c:numRef>
          </c:val>
        </c:ser>
        <c:dLbls>
          <c:showLegendKey val="0"/>
          <c:showVal val="1"/>
          <c:showCatName val="0"/>
          <c:showSerName val="0"/>
          <c:showPercent val="0"/>
          <c:showBubbleSize val="0"/>
          <c:showLeaderLines val="1"/>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it-IT" sz="1600"/>
              <a:t>Dinamica della</a:t>
            </a:r>
            <a:r>
              <a:rPr lang="it-IT" sz="1600" baseline="0"/>
              <a:t> spesa corrente</a:t>
            </a:r>
          </a:p>
          <a:p>
            <a:pPr>
              <a:defRPr sz="1600"/>
            </a:pPr>
            <a:r>
              <a:rPr lang="it-IT" sz="1600" baseline="0"/>
              <a:t>anno base 2008=100</a:t>
            </a:r>
            <a:endParaRPr lang="it-IT" sz="1600"/>
          </a:p>
        </c:rich>
      </c:tx>
      <c:layout>
        <c:manualLayout>
          <c:xMode val="edge"/>
          <c:yMode val="edge"/>
          <c:x val="0.28971147547156301"/>
          <c:y val="0"/>
        </c:manualLayout>
      </c:layout>
      <c:overlay val="1"/>
      <c:spPr>
        <a:noFill/>
        <a:ln w="25400">
          <a:noFill/>
        </a:ln>
      </c:spPr>
    </c:title>
    <c:autoTitleDeleted val="0"/>
    <c:plotArea>
      <c:layout>
        <c:manualLayout>
          <c:layoutTarget val="inner"/>
          <c:xMode val="edge"/>
          <c:yMode val="edge"/>
          <c:x val="9.9935754648409106E-2"/>
          <c:y val="0.184514383875757"/>
          <c:w val="0.88026802038899699"/>
          <c:h val="0.68501080957071503"/>
        </c:manualLayout>
      </c:layout>
      <c:lineChart>
        <c:grouping val="standard"/>
        <c:varyColors val="0"/>
        <c:ser>
          <c:idx val="0"/>
          <c:order val="0"/>
          <c:tx>
            <c:strRef>
              <c:f>'spese ed entrate correnti (2)'!$A$15</c:f>
              <c:strCache>
                <c:ptCount val="1"/>
                <c:pt idx="0">
                  <c:v>Stato </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1.2829580905408099E-2"/>
                </c:manualLayout>
              </c:layout>
              <c:spPr>
                <a:noFill/>
                <a:ln w="25400">
                  <a:noFill/>
                </a:ln>
              </c:spPr>
              <c:txPr>
                <a:bodyPr/>
                <a:lstStyle/>
                <a:p>
                  <a:pPr>
                    <a:defRPr sz="1200" b="1">
                      <a:solidFill>
                        <a:schemeClr val="accent1"/>
                      </a:solidFill>
                    </a:defRPr>
                  </a:pPr>
                  <a:endParaRPr lang="it-IT"/>
                </a:p>
              </c:txPr>
              <c:dLblPos val="r"/>
              <c:showLegendKey val="0"/>
              <c:showVal val="0"/>
              <c:showCatName val="0"/>
              <c:showSerName val="1"/>
              <c:showPercent val="0"/>
              <c:showBubbleSize val="0"/>
              <c:extLst>
                <c:ext xmlns:c15="http://schemas.microsoft.com/office/drawing/2012/chart" uri="{CE6537A1-D6FC-4f65-9D91-7224C49458BB}"/>
              </c:extLst>
            </c:dLbl>
            <c:spPr>
              <a:noFill/>
              <a:ln w="25400">
                <a:noFill/>
              </a:ln>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'spese ed entrate correnti (2)'!$E$14:$I$14</c:f>
              <c:numCache>
                <c:formatCode>General</c:formatCode>
                <c:ptCount val="5"/>
                <c:pt idx="0">
                  <c:v>2008</c:v>
                </c:pt>
                <c:pt idx="1">
                  <c:v>2009</c:v>
                </c:pt>
                <c:pt idx="2">
                  <c:v>2010</c:v>
                </c:pt>
                <c:pt idx="3">
                  <c:v>2011</c:v>
                </c:pt>
                <c:pt idx="4">
                  <c:v>2012</c:v>
                </c:pt>
              </c:numCache>
            </c:numRef>
          </c:cat>
          <c:val>
            <c:numRef>
              <c:f>'spese ed entrate correnti (2)'!$E$15:$I$15</c:f>
              <c:numCache>
                <c:formatCode>#,##0</c:formatCode>
                <c:ptCount val="5"/>
                <c:pt idx="0">
                  <c:v>100</c:v>
                </c:pt>
                <c:pt idx="1">
                  <c:v>108.02416743845269</c:v>
                </c:pt>
                <c:pt idx="2">
                  <c:v>108.4039119880092</c:v>
                </c:pt>
                <c:pt idx="3">
                  <c:v>108.0584785968026</c:v>
                </c:pt>
                <c:pt idx="4">
                  <c:v>108.2591859742176</c:v>
                </c:pt>
              </c:numCache>
            </c:numRef>
          </c:val>
          <c:smooth val="0"/>
        </c:ser>
        <c:ser>
          <c:idx val="1"/>
          <c:order val="1"/>
          <c:tx>
            <c:strRef>
              <c:f>'spese ed entrate correnti (2)'!#REF!</c:f>
              <c:strCache>
                <c:ptCount val="1"/>
                <c:pt idx="0">
                  <c:v>#REF!</c:v>
                </c:pt>
              </c:strCache>
            </c:strRef>
          </c:tx>
          <c:spPr>
            <a:ln>
              <a:solidFill>
                <a:schemeClr val="bg1">
                  <a:lumMod val="65000"/>
                </a:schemeClr>
              </a:solidFill>
            </a:ln>
          </c:spPr>
          <c:marker>
            <c:spPr>
              <a:solidFill>
                <a:schemeClr val="bg1">
                  <a:lumMod val="50000"/>
                </a:schemeClr>
              </a:solidFill>
              <a:ln>
                <a:no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w="25400">
                <a:noFill/>
              </a:ln>
            </c:spPr>
            <c:txPr>
              <a:bodyPr/>
              <a:lstStyle/>
              <a:p>
                <a:pPr>
                  <a:defRPr sz="1200"/>
                </a:pPr>
                <a:endParaRPr lang="it-IT"/>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'spese ed entrate correnti (2)'!$E$14:$I$14</c:f>
              <c:numCache>
                <c:formatCode>General</c:formatCode>
                <c:ptCount val="5"/>
                <c:pt idx="0">
                  <c:v>2008</c:v>
                </c:pt>
                <c:pt idx="1">
                  <c:v>2009</c:v>
                </c:pt>
                <c:pt idx="2">
                  <c:v>2010</c:v>
                </c:pt>
                <c:pt idx="3">
                  <c:v>2011</c:v>
                </c:pt>
                <c:pt idx="4">
                  <c:v>2012</c:v>
                </c:pt>
              </c:numCache>
            </c:numRef>
          </c:cat>
          <c:val>
            <c:numRef>
              <c:f>'spese ed entrate correnti (2)'!#REF!</c:f>
              <c:numCache>
                <c:formatCode>General</c:formatCode>
                <c:ptCount val="1"/>
                <c:pt idx="0">
                  <c:v>1</c:v>
                </c:pt>
              </c:numCache>
            </c:numRef>
          </c:val>
          <c:smooth val="0"/>
        </c:ser>
        <c:ser>
          <c:idx val="2"/>
          <c:order val="2"/>
          <c:tx>
            <c:strRef>
              <c:f>'spese ed entrate correnti (2)'!$A$16</c:f>
              <c:strCache>
                <c:ptCount val="1"/>
                <c:pt idx="0">
                  <c:v>Comuni</c:v>
                </c:pt>
              </c:strCache>
            </c:strRef>
          </c:tx>
          <c:spPr>
            <a:ln>
              <a:solidFill>
                <a:srgbClr val="FF0000"/>
              </a:solidFill>
            </a:ln>
          </c:spPr>
          <c:marker>
            <c:spPr>
              <a:solidFill>
                <a:srgbClr val="C00000"/>
              </a:solidFill>
              <a:ln>
                <a:solidFill>
                  <a:srgbClr val="FF0000"/>
                </a:solidFill>
              </a:ln>
            </c:spPr>
          </c:marker>
          <c:dLbls>
            <c:dLbl>
              <c:idx val="4"/>
              <c:layout>
                <c:manualLayout>
                  <c:x val="-6.8720184503414401E-3"/>
                  <c:y val="1.2829580905408E-2"/>
                </c:manualLayout>
              </c:layout>
              <c:spPr>
                <a:noFill/>
                <a:ln w="25400">
                  <a:noFill/>
                </a:ln>
              </c:spPr>
              <c:txPr>
                <a:bodyPr/>
                <a:lstStyle/>
                <a:p>
                  <a:pPr>
                    <a:defRPr sz="1200" b="1">
                      <a:solidFill>
                        <a:srgbClr val="FF0000"/>
                      </a:solidFill>
                    </a:defRPr>
                  </a:pPr>
                  <a:endParaRPr lang="it-IT"/>
                </a:p>
              </c:txPr>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'spese ed entrate correnti (2)'!$E$14:$I$14</c:f>
              <c:numCache>
                <c:formatCode>General</c:formatCode>
                <c:ptCount val="5"/>
                <c:pt idx="0">
                  <c:v>2008</c:v>
                </c:pt>
                <c:pt idx="1">
                  <c:v>2009</c:v>
                </c:pt>
                <c:pt idx="2">
                  <c:v>2010</c:v>
                </c:pt>
                <c:pt idx="3">
                  <c:v>2011</c:v>
                </c:pt>
                <c:pt idx="4">
                  <c:v>2012</c:v>
                </c:pt>
              </c:numCache>
            </c:numRef>
          </c:cat>
          <c:val>
            <c:numRef>
              <c:f>'spese ed entrate correnti (2)'!$E$16:$I$16</c:f>
              <c:numCache>
                <c:formatCode>#,##0</c:formatCode>
                <c:ptCount val="5"/>
                <c:pt idx="0">
                  <c:v>100</c:v>
                </c:pt>
                <c:pt idx="1">
                  <c:v>102.1391778608221</c:v>
                </c:pt>
                <c:pt idx="2">
                  <c:v>103.7895162104838</c:v>
                </c:pt>
                <c:pt idx="3">
                  <c:v>103.16937683062319</c:v>
                </c:pt>
                <c:pt idx="4">
                  <c:v>101.1655388344611</c:v>
                </c:pt>
              </c:numCache>
            </c:numRef>
          </c:val>
          <c:smooth val="0"/>
        </c:ser>
        <c:ser>
          <c:idx val="3"/>
          <c:order val="3"/>
          <c:tx>
            <c:strRef>
              <c:f>'spese ed entrate correnti (2)'!#REF!</c:f>
              <c:strCache>
                <c:ptCount val="1"/>
                <c:pt idx="0">
                  <c:v>#REF!</c:v>
                </c:pt>
              </c:strCache>
            </c:strRef>
          </c:tx>
          <c:spPr>
            <a:ln>
              <a:solidFill>
                <a:schemeClr val="bg1">
                  <a:lumMod val="65000"/>
                </a:schemeClr>
              </a:solidFill>
            </a:ln>
          </c:spPr>
          <c:marker>
            <c:symbol val="star"/>
            <c:size val="7"/>
            <c:spPr>
              <a:noFill/>
              <a:ln>
                <a:solidFill>
                  <a:schemeClr val="bg1">
                    <a:lumMod val="50000"/>
                  </a:schemeClr>
                </a:solidFill>
              </a:ln>
            </c:spPr>
          </c:marker>
          <c:dLbls>
            <c:dLbl>
              <c:idx val="4"/>
              <c:spPr>
                <a:noFill/>
                <a:ln w="25400">
                  <a:noFill/>
                </a:ln>
              </c:spPr>
              <c:txPr>
                <a:bodyPr/>
                <a:lstStyle/>
                <a:p>
                  <a:pPr>
                    <a:defRPr sz="1200"/>
                  </a:pPr>
                  <a:endParaRPr lang="it-IT"/>
                </a:p>
              </c:txP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'spese ed entrate correnti (2)'!$E$14:$I$14</c:f>
              <c:numCache>
                <c:formatCode>General</c:formatCode>
                <c:ptCount val="5"/>
                <c:pt idx="0">
                  <c:v>2008</c:v>
                </c:pt>
                <c:pt idx="1">
                  <c:v>2009</c:v>
                </c:pt>
                <c:pt idx="2">
                  <c:v>2010</c:v>
                </c:pt>
                <c:pt idx="3">
                  <c:v>2011</c:v>
                </c:pt>
                <c:pt idx="4">
                  <c:v>2012</c:v>
                </c:pt>
              </c:numCache>
            </c:numRef>
          </c:cat>
          <c:val>
            <c:numRef>
              <c:f>'spese ed entrate correnti (2)'!#REF!</c:f>
              <c:numCache>
                <c:formatCode>General</c:formatCode>
                <c:ptCount val="1"/>
                <c:pt idx="0">
                  <c:v>1</c:v>
                </c:pt>
              </c:numCache>
            </c:numRef>
          </c:val>
          <c:smooth val="0"/>
        </c:ser>
        <c:ser>
          <c:idx val="4"/>
          <c:order val="4"/>
          <c:tx>
            <c:strRef>
              <c:f>'spese ed entrate correnti (2)'!#REF!</c:f>
              <c:strCache>
                <c:ptCount val="1"/>
                <c:pt idx="0">
                  <c:v>#REF!</c:v>
                </c:pt>
              </c:strCache>
            </c:strRef>
          </c:tx>
          <c:spPr>
            <a:ln>
              <a:solidFill>
                <a:schemeClr val="bg1">
                  <a:lumMod val="65000"/>
                </a:schemeClr>
              </a:solidFill>
            </a:ln>
          </c:spPr>
          <c:marker>
            <c:symbol val="circle"/>
            <c:size val="7"/>
            <c:spPr>
              <a:solidFill>
                <a:schemeClr val="bg1">
                  <a:lumMod val="50000"/>
                </a:schemeClr>
              </a:solidFill>
              <a:ln>
                <a:no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1.71061078738775E-2"/>
                </c:manualLayout>
              </c:layout>
              <c:dLblPos val="r"/>
              <c:showLegendKey val="0"/>
              <c:showVal val="0"/>
              <c:showCatName val="0"/>
              <c:showSerName val="1"/>
              <c:showPercent val="0"/>
              <c:showBubbleSize val="0"/>
              <c:extLst>
                <c:ext xmlns:c15="http://schemas.microsoft.com/office/drawing/2012/chart" uri="{CE6537A1-D6FC-4f65-9D91-7224C49458BB}"/>
              </c:extLst>
            </c:dLbl>
            <c:spPr>
              <a:noFill/>
              <a:ln w="25400">
                <a:noFill/>
              </a:ln>
            </c:spPr>
            <c:txPr>
              <a:bodyPr/>
              <a:lstStyle/>
              <a:p>
                <a:pPr>
                  <a:defRPr sz="1200"/>
                </a:pPr>
                <a:endParaRPr lang="it-IT"/>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'spese ed entrate correnti (2)'!$E$14:$I$14</c:f>
              <c:numCache>
                <c:formatCode>General</c:formatCode>
                <c:ptCount val="5"/>
                <c:pt idx="0">
                  <c:v>2008</c:v>
                </c:pt>
                <c:pt idx="1">
                  <c:v>2009</c:v>
                </c:pt>
                <c:pt idx="2">
                  <c:v>2010</c:v>
                </c:pt>
                <c:pt idx="3">
                  <c:v>2011</c:v>
                </c:pt>
                <c:pt idx="4">
                  <c:v>2012</c:v>
                </c:pt>
              </c:numCache>
            </c:numRef>
          </c:cat>
          <c:val>
            <c:numRef>
              <c:f>'spese ed entrate correnti (2)'!#REF!</c:f>
              <c:numCache>
                <c:formatCode>General</c:formatCode>
                <c:ptCount val="1"/>
                <c:pt idx="0">
                  <c:v>1</c:v>
                </c:pt>
              </c:numCache>
            </c:numRef>
          </c:val>
          <c:smooth val="0"/>
        </c:ser>
        <c:dLbls>
          <c:showLegendKey val="0"/>
          <c:showVal val="0"/>
          <c:showCatName val="0"/>
          <c:showSerName val="0"/>
          <c:showPercent val="0"/>
          <c:showBubbleSize val="0"/>
        </c:dLbls>
        <c:marker val="1"/>
        <c:smooth val="0"/>
        <c:axId val="-1197313280"/>
        <c:axId val="-1197307296"/>
      </c:lineChart>
      <c:catAx>
        <c:axId val="-1197313280"/>
        <c:scaling>
          <c:orientation val="minMax"/>
        </c:scaling>
        <c:delete val="0"/>
        <c:axPos val="b"/>
        <c:numFmt formatCode="General" sourceLinked="1"/>
        <c:majorTickMark val="out"/>
        <c:minorTickMark val="none"/>
        <c:tickLblPos val="nextTo"/>
        <c:txPr>
          <a:bodyPr/>
          <a:lstStyle/>
          <a:p>
            <a:pPr>
              <a:defRPr sz="1050"/>
            </a:pPr>
            <a:endParaRPr lang="it-IT"/>
          </a:p>
        </c:txPr>
        <c:crossAx val="-1197307296"/>
        <c:crosses val="autoZero"/>
        <c:auto val="1"/>
        <c:lblAlgn val="ctr"/>
        <c:lblOffset val="100"/>
        <c:noMultiLvlLbl val="0"/>
      </c:catAx>
      <c:valAx>
        <c:axId val="-1197307296"/>
        <c:scaling>
          <c:orientation val="minMax"/>
          <c:max val="114"/>
          <c:min val="90"/>
        </c:scaling>
        <c:delete val="0"/>
        <c:axPos val="l"/>
        <c:majorGridlines/>
        <c:title>
          <c:tx>
            <c:rich>
              <a:bodyPr rot="-5400000" vert="horz"/>
              <a:lstStyle/>
              <a:p>
                <a:pPr>
                  <a:defRPr sz="1000"/>
                </a:pPr>
                <a:r>
                  <a:rPr lang="en-US" sz="1000"/>
                  <a:t>anno base 2008=100</a:t>
                </a:r>
              </a:p>
            </c:rich>
          </c:tx>
          <c:overlay val="0"/>
          <c:spPr>
            <a:noFill/>
            <a:ln w="25400">
              <a:noFill/>
            </a:ln>
          </c:spPr>
        </c:title>
        <c:numFmt formatCode="#,##0" sourceLinked="1"/>
        <c:majorTickMark val="out"/>
        <c:minorTickMark val="none"/>
        <c:tickLblPos val="nextTo"/>
        <c:txPr>
          <a:bodyPr/>
          <a:lstStyle/>
          <a:p>
            <a:pPr>
              <a:defRPr sz="1050"/>
            </a:pPr>
            <a:endParaRPr lang="it-IT"/>
          </a:p>
        </c:txPr>
        <c:crossAx val="-1197313280"/>
        <c:crosses val="autoZero"/>
        <c:crossBetween val="between"/>
        <c:majorUnit val="2"/>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Investimenti dei Comuni</a:t>
            </a:r>
          </a:p>
          <a:p>
            <a:pPr>
              <a:defRPr sz="1400"/>
            </a:pPr>
            <a:r>
              <a:rPr lang="en-US" sz="1400"/>
              <a:t>anni 2007-2012</a:t>
            </a:r>
          </a:p>
        </c:rich>
      </c:tx>
      <c:layout>
        <c:manualLayout>
          <c:xMode val="edge"/>
          <c:yMode val="edge"/>
          <c:x val="0.339589139009223"/>
          <c:y val="1.1115044491110399E-3"/>
        </c:manualLayout>
      </c:layout>
      <c:overlay val="0"/>
      <c:spPr>
        <a:noFill/>
        <a:ln w="25400">
          <a:noFill/>
        </a:ln>
      </c:spPr>
    </c:title>
    <c:autoTitleDeleted val="0"/>
    <c:plotArea>
      <c:layout>
        <c:manualLayout>
          <c:layoutTarget val="inner"/>
          <c:xMode val="edge"/>
          <c:yMode val="edge"/>
          <c:x val="0.17141349895601801"/>
          <c:y val="0.17644084864773801"/>
          <c:w val="0.76565119633083401"/>
          <c:h val="0.67040097192747194"/>
        </c:manualLayout>
      </c:layout>
      <c:lineChart>
        <c:grouping val="standard"/>
        <c:varyColors val="0"/>
        <c:ser>
          <c:idx val="0"/>
          <c:order val="0"/>
          <c:tx>
            <c:strRef>
              <c:f>investimenti!$A$15</c:f>
              <c:strCache>
                <c:ptCount val="1"/>
                <c:pt idx="0">
                  <c:v>Investimenti Comuni</c:v>
                </c:pt>
              </c:strCache>
            </c:strRef>
          </c:tx>
          <c:cat>
            <c:numRef>
              <c:f>investimenti!$B$14:$G$14</c:f>
              <c:numCache>
                <c:formatCode>General</c:formatCode>
                <c:ptCount val="6"/>
                <c:pt idx="0">
                  <c:v>2007</c:v>
                </c:pt>
                <c:pt idx="1">
                  <c:v>2008</c:v>
                </c:pt>
                <c:pt idx="2">
                  <c:v>2009</c:v>
                </c:pt>
                <c:pt idx="3">
                  <c:v>2010</c:v>
                </c:pt>
                <c:pt idx="4">
                  <c:v>2011</c:v>
                </c:pt>
                <c:pt idx="5">
                  <c:v>2012</c:v>
                </c:pt>
              </c:numCache>
            </c:numRef>
          </c:cat>
          <c:val>
            <c:numRef>
              <c:f>investimenti!$B$15:$G$15</c:f>
              <c:numCache>
                <c:formatCode>#,##0</c:formatCode>
                <c:ptCount val="6"/>
                <c:pt idx="0">
                  <c:v>15679</c:v>
                </c:pt>
                <c:pt idx="1">
                  <c:v>14742</c:v>
                </c:pt>
                <c:pt idx="2">
                  <c:v>15049</c:v>
                </c:pt>
                <c:pt idx="3">
                  <c:v>12719</c:v>
                </c:pt>
                <c:pt idx="4">
                  <c:v>12041</c:v>
                </c:pt>
                <c:pt idx="5">
                  <c:v>11284</c:v>
                </c:pt>
              </c:numCache>
            </c:numRef>
          </c:val>
          <c:smooth val="0"/>
        </c:ser>
        <c:dLbls>
          <c:showLegendKey val="0"/>
          <c:showVal val="0"/>
          <c:showCatName val="0"/>
          <c:showSerName val="0"/>
          <c:showPercent val="0"/>
          <c:showBubbleSize val="0"/>
        </c:dLbls>
        <c:marker val="1"/>
        <c:smooth val="0"/>
        <c:axId val="-1197308384"/>
        <c:axId val="-1197312192"/>
      </c:lineChart>
      <c:catAx>
        <c:axId val="-1197308384"/>
        <c:scaling>
          <c:orientation val="minMax"/>
        </c:scaling>
        <c:delete val="0"/>
        <c:axPos val="b"/>
        <c:numFmt formatCode="General" sourceLinked="1"/>
        <c:majorTickMark val="out"/>
        <c:minorTickMark val="none"/>
        <c:tickLblPos val="nextTo"/>
        <c:crossAx val="-1197312192"/>
        <c:crosses val="autoZero"/>
        <c:auto val="1"/>
        <c:lblAlgn val="ctr"/>
        <c:lblOffset val="100"/>
        <c:noMultiLvlLbl val="0"/>
      </c:catAx>
      <c:valAx>
        <c:axId val="-1197312192"/>
        <c:scaling>
          <c:orientation val="minMax"/>
          <c:max val="16000"/>
          <c:min val="11000"/>
        </c:scaling>
        <c:delete val="0"/>
        <c:axPos val="l"/>
        <c:majorGridlines/>
        <c:title>
          <c:tx>
            <c:rich>
              <a:bodyPr rot="-5400000" vert="horz"/>
              <a:lstStyle/>
              <a:p>
                <a:pPr>
                  <a:defRPr/>
                </a:pPr>
                <a:r>
                  <a:rPr lang="it-IT"/>
                  <a:t>valori in milioni di euro</a:t>
                </a:r>
              </a:p>
            </c:rich>
          </c:tx>
          <c:overlay val="0"/>
          <c:spPr>
            <a:noFill/>
            <a:ln w="25400">
              <a:noFill/>
            </a:ln>
          </c:spPr>
        </c:title>
        <c:numFmt formatCode="#,##0" sourceLinked="1"/>
        <c:majorTickMark val="out"/>
        <c:minorTickMark val="none"/>
        <c:tickLblPos val="nextTo"/>
        <c:crossAx val="-1197308384"/>
        <c:crosses val="autoZero"/>
        <c:crossBetween val="between"/>
      </c:valAx>
    </c:plotArea>
    <c:plotVisOnly val="1"/>
    <c:dispBlanksAs val="gap"/>
    <c:showDLblsOverMax val="0"/>
  </c:chart>
  <c:txPr>
    <a:bodyPr/>
    <a:lstStyle/>
    <a:p>
      <a:pPr>
        <a:defRPr>
          <a:latin typeface="+mn-lt"/>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0.0051</cdr:x>
      <cdr:y>0.87606</cdr:y>
    </cdr:from>
    <cdr:to>
      <cdr:x>0.6531</cdr:x>
      <cdr:y>0.95257</cdr:y>
    </cdr:to>
    <cdr:sp macro="" textlink="">
      <cdr:nvSpPr>
        <cdr:cNvPr id="2" name="CasellaDiTesto 1"/>
        <cdr:cNvSpPr txBox="1"/>
      </cdr:nvSpPr>
      <cdr:spPr>
        <a:xfrm xmlns:a="http://schemas.openxmlformats.org/drawingml/2006/main">
          <a:off x="27446" y="2838232"/>
          <a:ext cx="3487279" cy="2478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200" i="1" dirty="0"/>
            <a:t>fonte: elaborazioni IFEL su </a:t>
          </a:r>
          <a:r>
            <a:rPr lang="it-IT" sz="1200" i="1" dirty="0" smtClean="0"/>
            <a:t>dati ISTAT</a:t>
          </a:r>
          <a:endParaRPr lang="it-IT" sz="1200" i="1" dirty="0"/>
        </a:p>
        <a:p xmlns:a="http://schemas.openxmlformats.org/drawingml/2006/main">
          <a:r>
            <a:rPr lang="it-IT" sz="1000" i="1" dirty="0"/>
            <a:t>*al netto dei trasferimenti tra comparti PA</a:t>
          </a:r>
        </a:p>
      </cdr:txBody>
    </cdr:sp>
  </cdr:relSizeAnchor>
</c:userShapes>
</file>

<file path=word/drawings/drawing2.xml><?xml version="1.0" encoding="utf-8"?>
<c:userShapes xmlns:c="http://schemas.openxmlformats.org/drawingml/2006/chart">
  <cdr:relSizeAnchor xmlns:cdr="http://schemas.openxmlformats.org/drawingml/2006/chartDrawing">
    <cdr:from>
      <cdr:x>0.00448</cdr:x>
      <cdr:y>0.93484</cdr:y>
    </cdr:from>
    <cdr:to>
      <cdr:x>0.43625</cdr:x>
      <cdr:y>0.98727</cdr:y>
    </cdr:to>
    <cdr:sp macro="" textlink="">
      <cdr:nvSpPr>
        <cdr:cNvPr id="2" name="CasellaDiTesto 1"/>
        <cdr:cNvSpPr txBox="1"/>
      </cdr:nvSpPr>
      <cdr:spPr>
        <a:xfrm xmlns:a="http://schemas.openxmlformats.org/drawingml/2006/main">
          <a:off x="33618" y="4506109"/>
          <a:ext cx="3239768" cy="252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050" i="1"/>
            <a:t>fonte: elaborazioni IFEL su ISTAT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0.92512</cdr:y>
    </cdr:from>
    <cdr:to>
      <cdr:x>0.42769</cdr:x>
      <cdr:y>0.97362</cdr:y>
    </cdr:to>
    <cdr:sp macro="" textlink="">
      <cdr:nvSpPr>
        <cdr:cNvPr id="2" name="CasellaDiTesto 1"/>
        <cdr:cNvSpPr txBox="1"/>
      </cdr:nvSpPr>
      <cdr:spPr>
        <a:xfrm xmlns:a="http://schemas.openxmlformats.org/drawingml/2006/main">
          <a:off x="0" y="2691703"/>
          <a:ext cx="2216934" cy="141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050" i="1"/>
            <a:t>fonte: elaborazioni IFEL su ISTAT</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DCE3-C698-4F69-B246-357FCE64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3130</Words>
  <Characters>17846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delucapicione</dc:creator>
  <cp:lastModifiedBy>datanet</cp:lastModifiedBy>
  <cp:revision>2</cp:revision>
  <cp:lastPrinted>2014-04-14T10:04:00Z</cp:lastPrinted>
  <dcterms:created xsi:type="dcterms:W3CDTF">2014-04-15T11:07:00Z</dcterms:created>
  <dcterms:modified xsi:type="dcterms:W3CDTF">2014-04-15T11:07:00Z</dcterms:modified>
</cp:coreProperties>
</file>