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51" w:rsidRDefault="00AC5151">
      <w:pPr>
        <w:spacing w:after="120"/>
      </w:pPr>
      <w:bookmarkStart w:id="0" w:name="_GoBack"/>
      <w:bookmarkEnd w:id="0"/>
    </w:p>
    <w:p w:rsidR="003C549A" w:rsidRDefault="003C549A">
      <w:pPr>
        <w:spacing w:after="120"/>
      </w:pPr>
    </w:p>
    <w:p w:rsidR="00AC5151" w:rsidRDefault="003C549A">
      <w:pPr>
        <w:shd w:val="clear" w:color="auto" w:fill="FFFFFF"/>
        <w:spacing w:after="120"/>
        <w:jc w:val="center"/>
        <w:rPr>
          <w:rFonts w:ascii="Bookman Old Style" w:eastAsia="Times New Roman" w:hAnsi="Bookman Old Style" w:cs="Calibri"/>
          <w:b/>
          <w:color w:val="4F81BD" w:themeColor="accent1"/>
          <w:sz w:val="32"/>
          <w:lang w:eastAsia="it-IT"/>
        </w:rPr>
      </w:pPr>
      <w:r>
        <w:rPr>
          <w:rFonts w:ascii="Bookman Old Style" w:eastAsia="Times New Roman" w:hAnsi="Bookman Old Style" w:cs="Calibri"/>
          <w:b/>
          <w:color w:val="4F81BD" w:themeColor="accent1"/>
          <w:sz w:val="32"/>
          <w:lang w:eastAsia="it-IT"/>
        </w:rPr>
        <w:t xml:space="preserve">Audizione </w:t>
      </w:r>
      <w:r w:rsidR="00826620">
        <w:rPr>
          <w:rFonts w:ascii="Bookman Old Style" w:eastAsia="Times New Roman" w:hAnsi="Bookman Old Style" w:cs="Calibri"/>
          <w:b/>
          <w:color w:val="4F81BD" w:themeColor="accent1"/>
          <w:sz w:val="32"/>
          <w:lang w:eastAsia="it-IT"/>
        </w:rPr>
        <w:t>ANCI</w:t>
      </w:r>
    </w:p>
    <w:p w:rsidR="00AC5151" w:rsidRDefault="00AC5151">
      <w:pPr>
        <w:shd w:val="clear" w:color="auto" w:fill="FFFFFF"/>
        <w:spacing w:after="120"/>
        <w:jc w:val="center"/>
        <w:rPr>
          <w:rFonts w:ascii="Bookman Old Style" w:eastAsia="Times New Roman" w:hAnsi="Bookman Old Style" w:cs="Calibri"/>
          <w:b/>
          <w:color w:val="4F81BD" w:themeColor="accent1"/>
          <w:sz w:val="32"/>
          <w:lang w:eastAsia="it-IT"/>
        </w:rPr>
      </w:pPr>
    </w:p>
    <w:p w:rsidR="00AC5151" w:rsidRDefault="00AC5151">
      <w:pPr>
        <w:shd w:val="clear" w:color="auto" w:fill="FFFFFF"/>
        <w:spacing w:after="120"/>
        <w:jc w:val="center"/>
        <w:rPr>
          <w:rFonts w:ascii="Bookman Old Style" w:eastAsia="Times New Roman" w:hAnsi="Bookman Old Style" w:cs="Calibri"/>
          <w:b/>
          <w:color w:val="4F81BD" w:themeColor="accent1"/>
          <w:sz w:val="32"/>
          <w:lang w:eastAsia="it-IT"/>
        </w:rPr>
      </w:pPr>
    </w:p>
    <w:p w:rsidR="00AC5151" w:rsidRDefault="00826620">
      <w:pPr>
        <w:shd w:val="clear" w:color="auto" w:fill="FFFFFF"/>
        <w:spacing w:after="120"/>
        <w:jc w:val="center"/>
        <w:rPr>
          <w:rFonts w:ascii="Bookman Old Style" w:eastAsia="Times New Roman" w:hAnsi="Bookman Old Style" w:cs="Calibri"/>
          <w:b/>
          <w:color w:val="4F81BD" w:themeColor="accent1"/>
          <w:sz w:val="28"/>
          <w:lang w:eastAsia="it-IT"/>
        </w:rPr>
      </w:pPr>
      <w:r>
        <w:rPr>
          <w:rFonts w:ascii="Bookman Old Style" w:eastAsia="Times New Roman" w:hAnsi="Bookman Old Style" w:cs="Calibri"/>
          <w:b/>
          <w:color w:val="4F81BD" w:themeColor="accent1"/>
          <w:sz w:val="28"/>
          <w:lang w:eastAsia="it-IT"/>
        </w:rPr>
        <w:t>sul</w:t>
      </w:r>
    </w:p>
    <w:p w:rsidR="00AC5151" w:rsidRDefault="00826620">
      <w:pPr>
        <w:shd w:val="clear" w:color="auto" w:fill="FFFFFF"/>
        <w:spacing w:after="120"/>
        <w:jc w:val="center"/>
        <w:rPr>
          <w:rFonts w:ascii="Bookman Old Style" w:eastAsia="Times New Roman" w:hAnsi="Bookman Old Style" w:cs="Calibri"/>
          <w:b/>
          <w:color w:val="4F81BD" w:themeColor="accent1"/>
          <w:sz w:val="32"/>
          <w:lang w:eastAsia="it-IT"/>
        </w:rPr>
      </w:pPr>
      <w:r>
        <w:rPr>
          <w:rFonts w:ascii="Bookman Old Style" w:eastAsia="Times New Roman" w:hAnsi="Bookman Old Style" w:cs="Calibri"/>
          <w:b/>
          <w:color w:val="4F81BD" w:themeColor="accent1"/>
          <w:sz w:val="32"/>
          <w:lang w:eastAsia="it-IT"/>
        </w:rPr>
        <w:t xml:space="preserve"> “Documento di economia e finanza 2017”</w:t>
      </w:r>
    </w:p>
    <w:p w:rsidR="00AC5151" w:rsidRDefault="00AC5151">
      <w:pPr>
        <w:shd w:val="clear" w:color="auto" w:fill="FFFFFF"/>
        <w:spacing w:after="120"/>
        <w:jc w:val="center"/>
        <w:rPr>
          <w:rFonts w:ascii="Bookman Old Style" w:eastAsia="Times New Roman" w:hAnsi="Bookman Old Style" w:cs="Calibri"/>
          <w:b/>
          <w:color w:val="4F81BD" w:themeColor="accent1"/>
          <w:lang w:eastAsia="it-IT"/>
        </w:rPr>
      </w:pPr>
    </w:p>
    <w:p w:rsidR="00AC5151" w:rsidRDefault="00AC5151">
      <w:pPr>
        <w:shd w:val="clear" w:color="auto" w:fill="FFFFFF"/>
        <w:spacing w:after="120"/>
        <w:jc w:val="center"/>
        <w:rPr>
          <w:rFonts w:ascii="Bookman Old Style" w:eastAsia="Times New Roman" w:hAnsi="Bookman Old Style" w:cs="Calibri"/>
          <w:b/>
          <w:color w:val="4F81BD" w:themeColor="accent1"/>
          <w:lang w:eastAsia="it-IT"/>
        </w:rPr>
      </w:pPr>
    </w:p>
    <w:p w:rsidR="00AC5151" w:rsidRDefault="00AC5151">
      <w:pPr>
        <w:shd w:val="clear" w:color="auto" w:fill="FFFFFF"/>
        <w:spacing w:after="120"/>
        <w:jc w:val="center"/>
        <w:rPr>
          <w:rFonts w:ascii="Bookman Old Style" w:eastAsia="Times New Roman" w:hAnsi="Bookman Old Style" w:cs="Calibri"/>
          <w:b/>
          <w:color w:val="4F81BD" w:themeColor="accent1"/>
          <w:lang w:eastAsia="it-IT"/>
        </w:rPr>
      </w:pPr>
    </w:p>
    <w:p w:rsidR="00AC5151" w:rsidRDefault="00826620">
      <w:pPr>
        <w:shd w:val="clear" w:color="auto" w:fill="FFFFFF"/>
        <w:spacing w:after="120"/>
        <w:jc w:val="center"/>
        <w:rPr>
          <w:rFonts w:ascii="Bookman Old Style" w:eastAsia="Times New Roman" w:hAnsi="Bookman Old Style" w:cs="Calibri"/>
          <w:b/>
          <w:color w:val="4F81BD" w:themeColor="accent1"/>
          <w:sz w:val="32"/>
          <w:lang w:eastAsia="it-IT"/>
        </w:rPr>
      </w:pPr>
      <w:r>
        <w:rPr>
          <w:rFonts w:ascii="Bookman Old Style" w:eastAsia="Times New Roman" w:hAnsi="Bookman Old Style" w:cs="Calibri"/>
          <w:b/>
          <w:color w:val="4F81BD" w:themeColor="accent1"/>
          <w:sz w:val="32"/>
          <w:lang w:eastAsia="it-IT"/>
        </w:rPr>
        <w:t xml:space="preserve">Commissioni Bilancio Camera e Senato </w:t>
      </w:r>
    </w:p>
    <w:p w:rsidR="00AC5151" w:rsidRDefault="00D73915">
      <w:pPr>
        <w:shd w:val="clear" w:color="auto" w:fill="FFFFFF"/>
        <w:spacing w:after="120"/>
        <w:jc w:val="center"/>
        <w:rPr>
          <w:rFonts w:ascii="Bookman Old Style" w:eastAsia="Times New Roman" w:hAnsi="Bookman Old Style" w:cs="Calibri"/>
          <w:b/>
          <w:i/>
          <w:color w:val="4F81BD" w:themeColor="accent1"/>
          <w:sz w:val="32"/>
          <w:lang w:eastAsia="it-IT"/>
        </w:rPr>
      </w:pPr>
      <w:r>
        <w:rPr>
          <w:rFonts w:ascii="Bookman Old Style" w:eastAsia="Times New Roman" w:hAnsi="Bookman Old Style" w:cs="Calibri"/>
          <w:b/>
          <w:i/>
          <w:color w:val="4F81BD" w:themeColor="accent1"/>
          <w:sz w:val="32"/>
          <w:lang w:eastAsia="it-IT"/>
        </w:rPr>
        <w:t xml:space="preserve">in </w:t>
      </w:r>
      <w:r w:rsidR="00C27437">
        <w:rPr>
          <w:rFonts w:ascii="Bookman Old Style" w:eastAsia="Times New Roman" w:hAnsi="Bookman Old Style" w:cs="Calibri"/>
          <w:b/>
          <w:i/>
          <w:color w:val="4F81BD" w:themeColor="accent1"/>
          <w:sz w:val="32"/>
          <w:lang w:eastAsia="it-IT"/>
        </w:rPr>
        <w:t xml:space="preserve">seduta </w:t>
      </w:r>
      <w:r w:rsidR="00826620">
        <w:rPr>
          <w:rFonts w:ascii="Bookman Old Style" w:eastAsia="Times New Roman" w:hAnsi="Bookman Old Style" w:cs="Calibri"/>
          <w:b/>
          <w:i/>
          <w:color w:val="4F81BD" w:themeColor="accent1"/>
          <w:sz w:val="32"/>
          <w:lang w:eastAsia="it-IT"/>
        </w:rPr>
        <w:t>congiunta</w:t>
      </w:r>
    </w:p>
    <w:p w:rsidR="00AC5151" w:rsidRDefault="00AC5151">
      <w:pPr>
        <w:spacing w:after="120"/>
        <w:rPr>
          <w:rFonts w:ascii="Bookman Old Style" w:eastAsia="Times New Roman" w:hAnsi="Bookman Old Style" w:cs="Calibri"/>
          <w:b/>
          <w:color w:val="4F81BD" w:themeColor="accent1"/>
          <w:lang w:eastAsia="it-IT"/>
        </w:rPr>
      </w:pPr>
    </w:p>
    <w:p w:rsidR="00AC5151" w:rsidRDefault="00AC5151">
      <w:pPr>
        <w:spacing w:after="120"/>
        <w:rPr>
          <w:rFonts w:ascii="Bookman Old Style" w:eastAsia="Times New Roman" w:hAnsi="Bookman Old Style" w:cs="Calibri"/>
          <w:b/>
          <w:color w:val="4F81BD" w:themeColor="accent1"/>
          <w:lang w:eastAsia="it-IT"/>
        </w:rPr>
      </w:pPr>
    </w:p>
    <w:p w:rsidR="00AC5151" w:rsidRDefault="00AC5151">
      <w:pPr>
        <w:spacing w:after="120"/>
        <w:rPr>
          <w:rFonts w:ascii="Bookman Old Style" w:eastAsia="Times New Roman" w:hAnsi="Bookman Old Style" w:cs="Calibri"/>
          <w:b/>
          <w:color w:val="4F81BD" w:themeColor="accent1"/>
          <w:lang w:eastAsia="it-IT"/>
        </w:rPr>
      </w:pPr>
    </w:p>
    <w:p w:rsidR="00AC5151" w:rsidRDefault="00AC5151">
      <w:pPr>
        <w:spacing w:after="120"/>
        <w:rPr>
          <w:rFonts w:ascii="Bookman Old Style" w:eastAsia="Times New Roman" w:hAnsi="Bookman Old Style" w:cs="Calibri"/>
          <w:b/>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lang w:eastAsia="it-IT"/>
        </w:rPr>
      </w:pPr>
    </w:p>
    <w:p w:rsidR="00AC5151" w:rsidRDefault="00AC5151">
      <w:pPr>
        <w:spacing w:after="120"/>
        <w:jc w:val="center"/>
        <w:rPr>
          <w:rFonts w:ascii="Bookman Old Style" w:eastAsia="Times New Roman" w:hAnsi="Bookman Old Style" w:cs="Calibri"/>
          <w:color w:val="4F81BD" w:themeColor="accent1"/>
          <w:sz w:val="28"/>
          <w:lang w:eastAsia="it-IT"/>
        </w:rPr>
      </w:pPr>
    </w:p>
    <w:p w:rsidR="00AC5151" w:rsidRDefault="00826620">
      <w:pPr>
        <w:spacing w:after="120"/>
        <w:jc w:val="center"/>
        <w:rPr>
          <w:rFonts w:ascii="Bookman Old Style" w:eastAsia="Times New Roman" w:hAnsi="Bookman Old Style" w:cs="Calibri"/>
          <w:b/>
          <w:color w:val="4F81BD" w:themeColor="accent1"/>
          <w:sz w:val="28"/>
          <w:lang w:eastAsia="it-IT"/>
        </w:rPr>
      </w:pPr>
      <w:r>
        <w:rPr>
          <w:rFonts w:ascii="Bookman Old Style" w:eastAsia="Times New Roman" w:hAnsi="Bookman Old Style" w:cs="Calibri"/>
          <w:b/>
          <w:color w:val="4F81BD" w:themeColor="accent1"/>
          <w:sz w:val="28"/>
          <w:lang w:eastAsia="it-IT"/>
        </w:rPr>
        <w:t>Roma 18 aprile 2017</w:t>
      </w:r>
    </w:p>
    <w:p w:rsidR="00AC5151" w:rsidRDefault="00826620">
      <w:pPr>
        <w:spacing w:after="120"/>
      </w:pPr>
      <w:r>
        <w:br w:type="page"/>
      </w:r>
    </w:p>
    <w:p w:rsidR="00AC5151" w:rsidRDefault="00AC5151">
      <w:pPr>
        <w:spacing w:after="120"/>
      </w:pPr>
    </w:p>
    <w:sdt>
      <w:sdtPr>
        <w:rPr>
          <w:rFonts w:asciiTheme="minorHAnsi" w:eastAsiaTheme="minorHAnsi" w:hAnsiTheme="minorHAnsi" w:cstheme="minorBidi"/>
          <w:b w:val="0"/>
          <w:bCs w:val="0"/>
          <w:color w:val="auto"/>
          <w:sz w:val="22"/>
          <w:szCs w:val="22"/>
          <w:lang w:eastAsia="en-US"/>
        </w:rPr>
        <w:id w:val="676937212"/>
        <w:docPartObj>
          <w:docPartGallery w:val="Table of Contents"/>
          <w:docPartUnique/>
        </w:docPartObj>
      </w:sdtPr>
      <w:sdtEndPr>
        <w:rPr>
          <w:rFonts w:ascii="Bookman Old Style" w:hAnsi="Bookman Old Style"/>
          <w:sz w:val="20"/>
          <w:szCs w:val="20"/>
        </w:rPr>
      </w:sdtEndPr>
      <w:sdtContent>
        <w:p w:rsidR="00AC5151" w:rsidRDefault="00826620" w:rsidP="002F6518">
          <w:pPr>
            <w:pStyle w:val="Titolosommario"/>
          </w:pPr>
          <w:r>
            <w:t>Sommario</w:t>
          </w:r>
        </w:p>
        <w:p w:rsidR="009B052B" w:rsidRPr="009B052B" w:rsidRDefault="00070093">
          <w:pPr>
            <w:pStyle w:val="Sommario1"/>
            <w:rPr>
              <w:rFonts w:eastAsiaTheme="minorEastAsia"/>
              <w:b w:val="0"/>
              <w:lang w:eastAsia="it-IT"/>
            </w:rPr>
          </w:pPr>
          <w:r w:rsidRPr="00070093">
            <w:fldChar w:fldCharType="begin"/>
          </w:r>
          <w:r w:rsidR="00826620" w:rsidRPr="009B052B">
            <w:instrText xml:space="preserve"> TOC \o "1-3" \h \z \u </w:instrText>
          </w:r>
          <w:r w:rsidRPr="00070093">
            <w:fldChar w:fldCharType="separate"/>
          </w:r>
          <w:hyperlink w:anchor="_Toc480289410" w:history="1">
            <w:r w:rsidR="009B052B" w:rsidRPr="009B052B">
              <w:rPr>
                <w:rStyle w:val="Collegamentoipertestuale"/>
              </w:rPr>
              <w:t>Introduzione e sintesi</w:t>
            </w:r>
            <w:r w:rsidR="009B052B" w:rsidRPr="009B052B">
              <w:rPr>
                <w:webHidden/>
              </w:rPr>
              <w:tab/>
            </w:r>
            <w:r w:rsidRPr="009B052B">
              <w:rPr>
                <w:webHidden/>
              </w:rPr>
              <w:fldChar w:fldCharType="begin"/>
            </w:r>
            <w:r w:rsidR="009B052B" w:rsidRPr="009B052B">
              <w:rPr>
                <w:webHidden/>
              </w:rPr>
              <w:instrText xml:space="preserve"> PAGEREF _Toc480289410 \h </w:instrText>
            </w:r>
            <w:r w:rsidRPr="009B052B">
              <w:rPr>
                <w:webHidden/>
              </w:rPr>
            </w:r>
            <w:r w:rsidRPr="009B052B">
              <w:rPr>
                <w:webHidden/>
              </w:rPr>
              <w:fldChar w:fldCharType="separate"/>
            </w:r>
            <w:r w:rsidR="009B052B" w:rsidRPr="009B052B">
              <w:rPr>
                <w:webHidden/>
              </w:rPr>
              <w:t>3</w:t>
            </w:r>
            <w:r w:rsidRPr="009B052B">
              <w:rPr>
                <w:webHidden/>
              </w:rPr>
              <w:fldChar w:fldCharType="end"/>
            </w:r>
          </w:hyperlink>
        </w:p>
        <w:p w:rsidR="009B052B" w:rsidRPr="009B052B" w:rsidRDefault="00070093">
          <w:pPr>
            <w:pStyle w:val="Sommario1"/>
            <w:rPr>
              <w:rFonts w:eastAsiaTheme="minorEastAsia"/>
              <w:b w:val="0"/>
              <w:lang w:eastAsia="it-IT"/>
            </w:rPr>
          </w:pPr>
          <w:hyperlink w:anchor="_Toc480289411" w:history="1">
            <w:r w:rsidR="009B052B" w:rsidRPr="009B052B">
              <w:rPr>
                <w:rStyle w:val="Collegamentoipertestuale"/>
              </w:rPr>
              <w:t>Analisi e tendenze della finanza pubblica locale</w:t>
            </w:r>
            <w:r w:rsidR="009B052B" w:rsidRPr="009B052B">
              <w:rPr>
                <w:webHidden/>
              </w:rPr>
              <w:tab/>
            </w:r>
            <w:r w:rsidRPr="009B052B">
              <w:rPr>
                <w:webHidden/>
              </w:rPr>
              <w:fldChar w:fldCharType="begin"/>
            </w:r>
            <w:r w:rsidR="009B052B" w:rsidRPr="009B052B">
              <w:rPr>
                <w:webHidden/>
              </w:rPr>
              <w:instrText xml:space="preserve"> PAGEREF _Toc480289411 \h </w:instrText>
            </w:r>
            <w:r w:rsidRPr="009B052B">
              <w:rPr>
                <w:webHidden/>
              </w:rPr>
            </w:r>
            <w:r w:rsidRPr="009B052B">
              <w:rPr>
                <w:webHidden/>
              </w:rPr>
              <w:fldChar w:fldCharType="separate"/>
            </w:r>
            <w:r w:rsidR="009B052B" w:rsidRPr="009B052B">
              <w:rPr>
                <w:webHidden/>
              </w:rPr>
              <w:t>8</w:t>
            </w:r>
            <w:r w:rsidRPr="009B052B">
              <w:rPr>
                <w:webHidden/>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12" w:history="1">
            <w:r w:rsidR="009B052B" w:rsidRPr="009B052B">
              <w:rPr>
                <w:rStyle w:val="Collegamentoipertestuale"/>
                <w:rFonts w:ascii="Bookman Old Style" w:hAnsi="Bookman Old Style"/>
                <w:noProof/>
                <w:sz w:val="20"/>
                <w:szCs w:val="20"/>
              </w:rPr>
              <w:t>Il peso del Fondo crediti di dubbia esigibilità</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_Toc480289412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8</w:t>
            </w:r>
            <w:r w:rsidRPr="009B052B">
              <w:rPr>
                <w:rFonts w:ascii="Bookman Old Style" w:hAnsi="Bookman Old Style"/>
                <w:noProof/>
                <w:webHidden/>
                <w:sz w:val="20"/>
                <w:szCs w:val="20"/>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13" w:history="1">
            <w:r w:rsidR="009B052B" w:rsidRPr="009B052B">
              <w:rPr>
                <w:rStyle w:val="Collegamentoipertestuale"/>
                <w:rFonts w:ascii="Bookman Old Style" w:hAnsi="Bookman Old Style"/>
                <w:noProof/>
                <w:sz w:val="20"/>
                <w:szCs w:val="20"/>
              </w:rPr>
              <w:t>Un’analisi della ripresa degli investimenti comunali</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_Toc480289413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10</w:t>
            </w:r>
            <w:r w:rsidRPr="009B052B">
              <w:rPr>
                <w:rFonts w:ascii="Bookman Old Style" w:hAnsi="Bookman Old Style"/>
                <w:noProof/>
                <w:webHidden/>
                <w:sz w:val="20"/>
                <w:szCs w:val="20"/>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14" w:history="1">
            <w:r w:rsidR="009B052B" w:rsidRPr="009B052B">
              <w:rPr>
                <w:rStyle w:val="Collegamentoipertestuale"/>
                <w:rFonts w:ascii="Bookman Old Style" w:hAnsi="Bookman Old Style"/>
                <w:noProof/>
                <w:sz w:val="20"/>
                <w:szCs w:val="20"/>
              </w:rPr>
              <w:t>Il raggiungimento degli obiettivi di saldo di competenza e l’</w:t>
            </w:r>
            <w:r w:rsidR="009B052B" w:rsidRPr="009B052B">
              <w:rPr>
                <w:rStyle w:val="Collegamentoipertestuale"/>
                <w:rFonts w:ascii="Bookman Old Style" w:hAnsi="Bookman Old Style"/>
                <w:i/>
                <w:noProof/>
                <w:sz w:val="20"/>
                <w:szCs w:val="20"/>
              </w:rPr>
              <w:t>overshooting</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_Toc480289414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14</w:t>
            </w:r>
            <w:r w:rsidRPr="009B052B">
              <w:rPr>
                <w:rFonts w:ascii="Bookman Old Style" w:hAnsi="Bookman Old Style"/>
                <w:noProof/>
                <w:webHidden/>
                <w:sz w:val="20"/>
                <w:szCs w:val="20"/>
              </w:rPr>
              <w:fldChar w:fldCharType="end"/>
            </w:r>
          </w:hyperlink>
        </w:p>
        <w:p w:rsidR="009B052B" w:rsidRPr="009B052B" w:rsidRDefault="00070093">
          <w:pPr>
            <w:pStyle w:val="Sommario1"/>
            <w:rPr>
              <w:rFonts w:eastAsiaTheme="minorEastAsia"/>
              <w:b w:val="0"/>
              <w:lang w:eastAsia="it-IT"/>
            </w:rPr>
          </w:pPr>
          <w:hyperlink w:anchor="_Toc480289415" w:history="1">
            <w:r w:rsidR="009B052B" w:rsidRPr="009B052B">
              <w:rPr>
                <w:rStyle w:val="Collegamentoipertestuale"/>
              </w:rPr>
              <w:t>Stabilizzazione delle regole di finanza pubblica: opportunità e criticità</w:t>
            </w:r>
            <w:r w:rsidR="009B052B" w:rsidRPr="009B052B">
              <w:rPr>
                <w:webHidden/>
              </w:rPr>
              <w:tab/>
            </w:r>
            <w:r w:rsidRPr="009B052B">
              <w:rPr>
                <w:webHidden/>
              </w:rPr>
              <w:fldChar w:fldCharType="begin"/>
            </w:r>
            <w:r w:rsidR="009B052B" w:rsidRPr="009B052B">
              <w:rPr>
                <w:webHidden/>
              </w:rPr>
              <w:instrText xml:space="preserve"> PAGEREF _Toc480289415 \h </w:instrText>
            </w:r>
            <w:r w:rsidRPr="009B052B">
              <w:rPr>
                <w:webHidden/>
              </w:rPr>
            </w:r>
            <w:r w:rsidRPr="009B052B">
              <w:rPr>
                <w:webHidden/>
              </w:rPr>
              <w:fldChar w:fldCharType="separate"/>
            </w:r>
            <w:r w:rsidR="009B052B" w:rsidRPr="009B052B">
              <w:rPr>
                <w:webHidden/>
              </w:rPr>
              <w:t>16</w:t>
            </w:r>
            <w:r w:rsidRPr="009B052B">
              <w:rPr>
                <w:webHidden/>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16" w:history="1">
            <w:r w:rsidR="009B052B" w:rsidRPr="009B052B">
              <w:rPr>
                <w:rStyle w:val="Collegamentoipertestuale"/>
                <w:rFonts w:ascii="Bookman Old Style" w:hAnsi="Bookman Old Style"/>
                <w:noProof/>
                <w:sz w:val="20"/>
                <w:szCs w:val="20"/>
              </w:rPr>
              <w:t>Nuovo impianto sanzionatorio e flessibilità del saldo</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_Toc480289416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17</w:t>
            </w:r>
            <w:r w:rsidRPr="009B052B">
              <w:rPr>
                <w:rFonts w:ascii="Bookman Old Style" w:hAnsi="Bookman Old Style"/>
                <w:noProof/>
                <w:webHidden/>
                <w:sz w:val="20"/>
                <w:szCs w:val="20"/>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17" w:history="1">
            <w:r w:rsidR="009B052B" w:rsidRPr="009B052B">
              <w:rPr>
                <w:rStyle w:val="Collegamentoipertestuale"/>
                <w:rFonts w:ascii="Bookman Old Style" w:hAnsi="Bookman Old Style"/>
                <w:noProof/>
                <w:sz w:val="20"/>
                <w:szCs w:val="20"/>
              </w:rPr>
              <w:t>Esigenze di adeguamento dei principi contabili</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_Toc480289417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17</w:t>
            </w:r>
            <w:r w:rsidRPr="009B052B">
              <w:rPr>
                <w:rFonts w:ascii="Bookman Old Style" w:hAnsi="Bookman Old Style"/>
                <w:noProof/>
                <w:webHidden/>
                <w:sz w:val="20"/>
                <w:szCs w:val="20"/>
              </w:rPr>
              <w:fldChar w:fldCharType="end"/>
            </w:r>
          </w:hyperlink>
        </w:p>
        <w:p w:rsidR="009B052B" w:rsidRPr="009B052B" w:rsidRDefault="00070093">
          <w:pPr>
            <w:pStyle w:val="Sommario1"/>
            <w:rPr>
              <w:rFonts w:eastAsiaTheme="minorEastAsia"/>
              <w:b w:val="0"/>
              <w:lang w:eastAsia="it-IT"/>
            </w:rPr>
          </w:pPr>
          <w:hyperlink w:anchor="_Toc480289418" w:history="1">
            <w:r w:rsidR="009B052B" w:rsidRPr="009B052B">
              <w:rPr>
                <w:rStyle w:val="Collegamentoipertestuale"/>
              </w:rPr>
              <w:t>Le entrate comunali: riforme mancate e perdita di autonomia</w:t>
            </w:r>
            <w:r w:rsidR="009B052B" w:rsidRPr="009B052B">
              <w:rPr>
                <w:webHidden/>
              </w:rPr>
              <w:tab/>
            </w:r>
            <w:r w:rsidRPr="009B052B">
              <w:rPr>
                <w:webHidden/>
              </w:rPr>
              <w:fldChar w:fldCharType="begin"/>
            </w:r>
            <w:r w:rsidR="009B052B" w:rsidRPr="009B052B">
              <w:rPr>
                <w:webHidden/>
              </w:rPr>
              <w:instrText xml:space="preserve"> PAGEREF _Toc480289418 \h </w:instrText>
            </w:r>
            <w:r w:rsidRPr="009B052B">
              <w:rPr>
                <w:webHidden/>
              </w:rPr>
            </w:r>
            <w:r w:rsidRPr="009B052B">
              <w:rPr>
                <w:webHidden/>
              </w:rPr>
              <w:fldChar w:fldCharType="separate"/>
            </w:r>
            <w:r w:rsidR="009B052B" w:rsidRPr="009B052B">
              <w:rPr>
                <w:webHidden/>
              </w:rPr>
              <w:t>19</w:t>
            </w:r>
            <w:r w:rsidRPr="009B052B">
              <w:rPr>
                <w:webHidden/>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19" w:history="1">
            <w:r w:rsidR="009B052B" w:rsidRPr="009B052B">
              <w:rPr>
                <w:rStyle w:val="Collegamentoipertestuale"/>
                <w:rFonts w:ascii="Bookman Old Style" w:hAnsi="Bookman Old Style"/>
                <w:noProof/>
                <w:sz w:val="20"/>
                <w:szCs w:val="20"/>
              </w:rPr>
              <w:t>La riorganizzazione del sistema fiscale</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_Toc480289419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19</w:t>
            </w:r>
            <w:r w:rsidRPr="009B052B">
              <w:rPr>
                <w:rFonts w:ascii="Bookman Old Style" w:hAnsi="Bookman Old Style"/>
                <w:noProof/>
                <w:webHidden/>
                <w:sz w:val="20"/>
                <w:szCs w:val="20"/>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20" w:history="1">
            <w:r w:rsidR="009B052B" w:rsidRPr="009B052B">
              <w:rPr>
                <w:rStyle w:val="Collegamentoipertestuale"/>
                <w:rFonts w:ascii="Bookman Old Style" w:hAnsi="Bookman Old Style"/>
                <w:noProof/>
                <w:sz w:val="20"/>
                <w:szCs w:val="20"/>
              </w:rPr>
              <w:t>Imposta di soggiorno</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_Toc480289420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20</w:t>
            </w:r>
            <w:r w:rsidRPr="009B052B">
              <w:rPr>
                <w:rFonts w:ascii="Bookman Old Style" w:hAnsi="Bookman Old Style"/>
                <w:noProof/>
                <w:webHidden/>
                <w:sz w:val="20"/>
                <w:szCs w:val="20"/>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21" w:history="1">
            <w:r w:rsidR="009B052B" w:rsidRPr="009B052B">
              <w:rPr>
                <w:rStyle w:val="Collegamentoipertestuale"/>
                <w:rFonts w:ascii="Bookman Old Style" w:hAnsi="Bookman Old Style"/>
                <w:noProof/>
                <w:sz w:val="20"/>
                <w:szCs w:val="20"/>
              </w:rPr>
              <w:t>Il Fondo di solidarietà 2017 e la quota perequativa</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_Toc480289421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21</w:t>
            </w:r>
            <w:r w:rsidRPr="009B052B">
              <w:rPr>
                <w:rFonts w:ascii="Bookman Old Style" w:hAnsi="Bookman Old Style"/>
                <w:noProof/>
                <w:webHidden/>
                <w:sz w:val="20"/>
                <w:szCs w:val="20"/>
              </w:rPr>
              <w:fldChar w:fldCharType="end"/>
            </w:r>
          </w:hyperlink>
        </w:p>
        <w:p w:rsidR="009B052B" w:rsidRPr="009B052B" w:rsidRDefault="00070093">
          <w:pPr>
            <w:pStyle w:val="Sommario2"/>
            <w:tabs>
              <w:tab w:val="right" w:leader="dot" w:pos="9628"/>
            </w:tabs>
            <w:rPr>
              <w:rFonts w:ascii="Bookman Old Style" w:eastAsiaTheme="minorEastAsia" w:hAnsi="Bookman Old Style"/>
              <w:noProof/>
              <w:sz w:val="20"/>
              <w:szCs w:val="20"/>
              <w:lang w:eastAsia="it-IT"/>
            </w:rPr>
          </w:pPr>
          <w:hyperlink w:anchor="_Toc480289422" w:history="1">
            <w:r w:rsidR="009B052B" w:rsidRPr="009B052B">
              <w:rPr>
                <w:rStyle w:val="Collegamentoipertestuale"/>
                <w:rFonts w:ascii="Bookman Old Style" w:hAnsi="Bookman Old Style"/>
                <w:noProof/>
                <w:sz w:val="20"/>
                <w:szCs w:val="20"/>
              </w:rPr>
              <w:t>Sentenze giurisdizionali sugli interventi di determinazione e riparto delle risorse comunali</w:t>
            </w:r>
            <w:r w:rsidR="009B052B" w:rsidRPr="009B052B">
              <w:rPr>
                <w:rFonts w:ascii="Bookman Old Style" w:hAnsi="Bookman Old Style"/>
                <w:noProof/>
                <w:webHidden/>
                <w:sz w:val="20"/>
                <w:szCs w:val="20"/>
              </w:rPr>
              <w:tab/>
            </w:r>
            <w:r w:rsidRPr="009B052B">
              <w:rPr>
                <w:rFonts w:ascii="Bookman Old Style" w:hAnsi="Bookman Old Style"/>
                <w:noProof/>
                <w:webHidden/>
                <w:sz w:val="20"/>
                <w:szCs w:val="20"/>
              </w:rPr>
              <w:fldChar w:fldCharType="begin"/>
            </w:r>
            <w:r w:rsidR="009B052B" w:rsidRPr="009B052B">
              <w:rPr>
                <w:rFonts w:ascii="Bookman Old Style" w:hAnsi="Bookman Old Style"/>
                <w:noProof/>
                <w:webHidden/>
                <w:sz w:val="20"/>
                <w:szCs w:val="20"/>
              </w:rPr>
              <w:instrText xml:space="preserve"> PAGEREF _Toc480289422 \h </w:instrText>
            </w:r>
            <w:r w:rsidRPr="009B052B">
              <w:rPr>
                <w:rFonts w:ascii="Bookman Old Style" w:hAnsi="Bookman Old Style"/>
                <w:noProof/>
                <w:webHidden/>
                <w:sz w:val="20"/>
                <w:szCs w:val="20"/>
              </w:rPr>
            </w:r>
            <w:r w:rsidRPr="009B052B">
              <w:rPr>
                <w:rFonts w:ascii="Bookman Old Style" w:hAnsi="Bookman Old Style"/>
                <w:noProof/>
                <w:webHidden/>
                <w:sz w:val="20"/>
                <w:szCs w:val="20"/>
              </w:rPr>
              <w:fldChar w:fldCharType="separate"/>
            </w:r>
            <w:r w:rsidR="009B052B" w:rsidRPr="009B052B">
              <w:rPr>
                <w:rFonts w:ascii="Bookman Old Style" w:hAnsi="Bookman Old Style"/>
                <w:noProof/>
                <w:webHidden/>
                <w:sz w:val="20"/>
                <w:szCs w:val="20"/>
              </w:rPr>
              <w:t>21</w:t>
            </w:r>
            <w:r w:rsidRPr="009B052B">
              <w:rPr>
                <w:rFonts w:ascii="Bookman Old Style" w:hAnsi="Bookman Old Style"/>
                <w:noProof/>
                <w:webHidden/>
                <w:sz w:val="20"/>
                <w:szCs w:val="20"/>
              </w:rPr>
              <w:fldChar w:fldCharType="end"/>
            </w:r>
          </w:hyperlink>
        </w:p>
        <w:p w:rsidR="009B052B" w:rsidRPr="009B052B" w:rsidRDefault="00070093">
          <w:pPr>
            <w:pStyle w:val="Sommario1"/>
            <w:rPr>
              <w:rFonts w:eastAsiaTheme="minorEastAsia"/>
              <w:b w:val="0"/>
              <w:lang w:eastAsia="it-IT"/>
            </w:rPr>
          </w:pPr>
          <w:hyperlink w:anchor="_Toc480289423" w:history="1">
            <w:r w:rsidR="009B052B" w:rsidRPr="009B052B">
              <w:rPr>
                <w:rStyle w:val="Collegamentoipertestuale"/>
              </w:rPr>
              <w:t>Le Città Metropolitane</w:t>
            </w:r>
            <w:r w:rsidR="009B052B" w:rsidRPr="009B052B">
              <w:rPr>
                <w:webHidden/>
              </w:rPr>
              <w:tab/>
            </w:r>
            <w:r w:rsidRPr="009B052B">
              <w:rPr>
                <w:webHidden/>
              </w:rPr>
              <w:fldChar w:fldCharType="begin"/>
            </w:r>
            <w:r w:rsidR="009B052B" w:rsidRPr="009B052B">
              <w:rPr>
                <w:webHidden/>
              </w:rPr>
              <w:instrText xml:space="preserve"> PAGEREF _Toc480289423 \h </w:instrText>
            </w:r>
            <w:r w:rsidRPr="009B052B">
              <w:rPr>
                <w:webHidden/>
              </w:rPr>
            </w:r>
            <w:r w:rsidRPr="009B052B">
              <w:rPr>
                <w:webHidden/>
              </w:rPr>
              <w:fldChar w:fldCharType="separate"/>
            </w:r>
            <w:r w:rsidR="009B052B" w:rsidRPr="009B052B">
              <w:rPr>
                <w:webHidden/>
              </w:rPr>
              <w:t>23</w:t>
            </w:r>
            <w:r w:rsidRPr="009B052B">
              <w:rPr>
                <w:webHidden/>
              </w:rPr>
              <w:fldChar w:fldCharType="end"/>
            </w:r>
          </w:hyperlink>
        </w:p>
        <w:p w:rsidR="009B052B" w:rsidRPr="009B052B" w:rsidRDefault="00070093">
          <w:pPr>
            <w:pStyle w:val="Sommario1"/>
            <w:rPr>
              <w:rFonts w:eastAsiaTheme="minorEastAsia"/>
              <w:b w:val="0"/>
              <w:lang w:eastAsia="it-IT"/>
            </w:rPr>
          </w:pPr>
          <w:hyperlink w:anchor="_Toc480289424" w:history="1">
            <w:r w:rsidR="009B052B" w:rsidRPr="009B052B">
              <w:rPr>
                <w:rStyle w:val="Collegamentoipertestuale"/>
              </w:rPr>
              <w:t>Dissesto e predissesto</w:t>
            </w:r>
            <w:r w:rsidR="009B052B" w:rsidRPr="009B052B">
              <w:rPr>
                <w:webHidden/>
              </w:rPr>
              <w:tab/>
            </w:r>
            <w:r w:rsidRPr="009B052B">
              <w:rPr>
                <w:webHidden/>
              </w:rPr>
              <w:fldChar w:fldCharType="begin"/>
            </w:r>
            <w:r w:rsidR="009B052B" w:rsidRPr="009B052B">
              <w:rPr>
                <w:webHidden/>
              </w:rPr>
              <w:instrText xml:space="preserve"> PAGEREF _Toc480289424 \h </w:instrText>
            </w:r>
            <w:r w:rsidRPr="009B052B">
              <w:rPr>
                <w:webHidden/>
              </w:rPr>
            </w:r>
            <w:r w:rsidRPr="009B052B">
              <w:rPr>
                <w:webHidden/>
              </w:rPr>
              <w:fldChar w:fldCharType="separate"/>
            </w:r>
            <w:r w:rsidR="009B052B" w:rsidRPr="009B052B">
              <w:rPr>
                <w:webHidden/>
              </w:rPr>
              <w:t>24</w:t>
            </w:r>
            <w:r w:rsidRPr="009B052B">
              <w:rPr>
                <w:webHidden/>
              </w:rPr>
              <w:fldChar w:fldCharType="end"/>
            </w:r>
          </w:hyperlink>
        </w:p>
        <w:p w:rsidR="009B052B" w:rsidRPr="009B052B" w:rsidRDefault="00070093">
          <w:pPr>
            <w:pStyle w:val="Sommario1"/>
            <w:rPr>
              <w:rFonts w:eastAsiaTheme="minorEastAsia"/>
              <w:b w:val="0"/>
              <w:lang w:eastAsia="it-IT"/>
            </w:rPr>
          </w:pPr>
          <w:hyperlink w:anchor="_Toc480289425" w:history="1">
            <w:r w:rsidR="009B052B" w:rsidRPr="009B052B">
              <w:rPr>
                <w:rStyle w:val="Collegamentoipertestuale"/>
              </w:rPr>
              <w:t>Welfare e misure per il contrasto alla povertà</w:t>
            </w:r>
            <w:r w:rsidR="009B052B" w:rsidRPr="009B052B">
              <w:rPr>
                <w:webHidden/>
              </w:rPr>
              <w:tab/>
            </w:r>
            <w:r w:rsidRPr="009B052B">
              <w:rPr>
                <w:webHidden/>
              </w:rPr>
              <w:fldChar w:fldCharType="begin"/>
            </w:r>
            <w:r w:rsidR="009B052B" w:rsidRPr="009B052B">
              <w:rPr>
                <w:webHidden/>
              </w:rPr>
              <w:instrText xml:space="preserve"> PAGEREF _Toc480289425 \h </w:instrText>
            </w:r>
            <w:r w:rsidRPr="009B052B">
              <w:rPr>
                <w:webHidden/>
              </w:rPr>
            </w:r>
            <w:r w:rsidRPr="009B052B">
              <w:rPr>
                <w:webHidden/>
              </w:rPr>
              <w:fldChar w:fldCharType="separate"/>
            </w:r>
            <w:r w:rsidR="009B052B" w:rsidRPr="009B052B">
              <w:rPr>
                <w:webHidden/>
              </w:rPr>
              <w:t>25</w:t>
            </w:r>
            <w:r w:rsidRPr="009B052B">
              <w:rPr>
                <w:webHidden/>
              </w:rPr>
              <w:fldChar w:fldCharType="end"/>
            </w:r>
          </w:hyperlink>
        </w:p>
        <w:p w:rsidR="009B052B" w:rsidRPr="009B052B" w:rsidRDefault="00070093">
          <w:pPr>
            <w:pStyle w:val="Sommario1"/>
            <w:rPr>
              <w:rFonts w:eastAsiaTheme="minorEastAsia"/>
              <w:b w:val="0"/>
              <w:lang w:eastAsia="it-IT"/>
            </w:rPr>
          </w:pPr>
          <w:hyperlink w:anchor="_Toc480289426" w:history="1">
            <w:r w:rsidR="009B052B" w:rsidRPr="009B052B">
              <w:rPr>
                <w:rStyle w:val="Collegamentoipertestuale"/>
              </w:rPr>
              <w:t xml:space="preserve">Sviluppo sostenibile, energia, </w:t>
            </w:r>
            <w:r w:rsidR="003005E2">
              <w:rPr>
                <w:rStyle w:val="Collegamentoipertestuale"/>
              </w:rPr>
              <w:t xml:space="preserve">tpl e </w:t>
            </w:r>
            <w:r w:rsidR="009B052B" w:rsidRPr="009B052B">
              <w:rPr>
                <w:rStyle w:val="Collegamentoipertestuale"/>
              </w:rPr>
              <w:t>infrastrutture</w:t>
            </w:r>
            <w:r w:rsidR="009B052B" w:rsidRPr="009B052B">
              <w:rPr>
                <w:webHidden/>
              </w:rPr>
              <w:tab/>
            </w:r>
            <w:r w:rsidRPr="009B052B">
              <w:rPr>
                <w:webHidden/>
              </w:rPr>
              <w:fldChar w:fldCharType="begin"/>
            </w:r>
            <w:r w:rsidR="009B052B" w:rsidRPr="009B052B">
              <w:rPr>
                <w:webHidden/>
              </w:rPr>
              <w:instrText xml:space="preserve"> PAGEREF _Toc480289426 \h </w:instrText>
            </w:r>
            <w:r w:rsidRPr="009B052B">
              <w:rPr>
                <w:webHidden/>
              </w:rPr>
            </w:r>
            <w:r w:rsidRPr="009B052B">
              <w:rPr>
                <w:webHidden/>
              </w:rPr>
              <w:fldChar w:fldCharType="separate"/>
            </w:r>
            <w:r w:rsidR="009B052B" w:rsidRPr="009B052B">
              <w:rPr>
                <w:webHidden/>
              </w:rPr>
              <w:t>27</w:t>
            </w:r>
            <w:r w:rsidRPr="009B052B">
              <w:rPr>
                <w:webHidden/>
              </w:rPr>
              <w:fldChar w:fldCharType="end"/>
            </w:r>
          </w:hyperlink>
        </w:p>
        <w:p w:rsidR="009B052B" w:rsidRPr="009B052B" w:rsidRDefault="00070093">
          <w:pPr>
            <w:pStyle w:val="Sommario1"/>
            <w:rPr>
              <w:rFonts w:eastAsiaTheme="minorEastAsia"/>
              <w:b w:val="0"/>
              <w:lang w:eastAsia="it-IT"/>
            </w:rPr>
          </w:pPr>
          <w:hyperlink w:anchor="_Toc480289427" w:history="1">
            <w:r w:rsidR="009B052B" w:rsidRPr="009B052B">
              <w:rPr>
                <w:rStyle w:val="Collegamentoipertestuale"/>
              </w:rPr>
              <w:t>Sicurezza</w:t>
            </w:r>
            <w:r w:rsidR="009B052B" w:rsidRPr="009B052B">
              <w:rPr>
                <w:webHidden/>
              </w:rPr>
              <w:tab/>
            </w:r>
            <w:r w:rsidRPr="009B052B">
              <w:rPr>
                <w:webHidden/>
              </w:rPr>
              <w:fldChar w:fldCharType="begin"/>
            </w:r>
            <w:r w:rsidR="009B052B" w:rsidRPr="009B052B">
              <w:rPr>
                <w:webHidden/>
              </w:rPr>
              <w:instrText xml:space="preserve"> PAGEREF _Toc480289427 \h </w:instrText>
            </w:r>
            <w:r w:rsidRPr="009B052B">
              <w:rPr>
                <w:webHidden/>
              </w:rPr>
            </w:r>
            <w:r w:rsidRPr="009B052B">
              <w:rPr>
                <w:webHidden/>
              </w:rPr>
              <w:fldChar w:fldCharType="separate"/>
            </w:r>
            <w:r w:rsidR="009B052B" w:rsidRPr="009B052B">
              <w:rPr>
                <w:webHidden/>
              </w:rPr>
              <w:t>29</w:t>
            </w:r>
            <w:r w:rsidRPr="009B052B">
              <w:rPr>
                <w:webHidden/>
              </w:rPr>
              <w:fldChar w:fldCharType="end"/>
            </w:r>
          </w:hyperlink>
        </w:p>
        <w:p w:rsidR="009B052B" w:rsidRPr="009B052B" w:rsidRDefault="00070093">
          <w:pPr>
            <w:pStyle w:val="Sommario1"/>
            <w:rPr>
              <w:rFonts w:eastAsiaTheme="minorEastAsia"/>
              <w:b w:val="0"/>
              <w:lang w:eastAsia="it-IT"/>
            </w:rPr>
          </w:pPr>
          <w:hyperlink w:anchor="_Toc480289428" w:history="1">
            <w:r w:rsidR="009B052B" w:rsidRPr="009B052B">
              <w:rPr>
                <w:rStyle w:val="Collegamentoipertestuale"/>
              </w:rPr>
              <w:t>Coesione, riequilibrio territoriale e Mezzogiorno</w:t>
            </w:r>
            <w:r w:rsidR="009B052B" w:rsidRPr="009B052B">
              <w:rPr>
                <w:webHidden/>
              </w:rPr>
              <w:tab/>
            </w:r>
            <w:r w:rsidRPr="009B052B">
              <w:rPr>
                <w:webHidden/>
              </w:rPr>
              <w:fldChar w:fldCharType="begin"/>
            </w:r>
            <w:r w:rsidR="009B052B" w:rsidRPr="009B052B">
              <w:rPr>
                <w:webHidden/>
              </w:rPr>
              <w:instrText xml:space="preserve"> PAGEREF _Toc480289428 \h </w:instrText>
            </w:r>
            <w:r w:rsidRPr="009B052B">
              <w:rPr>
                <w:webHidden/>
              </w:rPr>
            </w:r>
            <w:r w:rsidRPr="009B052B">
              <w:rPr>
                <w:webHidden/>
              </w:rPr>
              <w:fldChar w:fldCharType="separate"/>
            </w:r>
            <w:r w:rsidR="009B052B" w:rsidRPr="009B052B">
              <w:rPr>
                <w:webHidden/>
              </w:rPr>
              <w:t>30</w:t>
            </w:r>
            <w:r w:rsidRPr="009B052B">
              <w:rPr>
                <w:webHidden/>
              </w:rPr>
              <w:fldChar w:fldCharType="end"/>
            </w:r>
          </w:hyperlink>
        </w:p>
        <w:p w:rsidR="00AC5151" w:rsidRDefault="00070093">
          <w:pPr>
            <w:spacing w:after="120"/>
          </w:pPr>
          <w:r w:rsidRPr="009B052B">
            <w:rPr>
              <w:rFonts w:ascii="Bookman Old Style" w:hAnsi="Bookman Old Style"/>
              <w:b/>
              <w:bCs/>
              <w:sz w:val="20"/>
              <w:szCs w:val="20"/>
            </w:rPr>
            <w:fldChar w:fldCharType="end"/>
          </w:r>
        </w:p>
      </w:sdtContent>
    </w:sdt>
    <w:p w:rsidR="003C549A" w:rsidRDefault="003C549A">
      <w:pPr>
        <w:rPr>
          <w:rFonts w:ascii="Bookman Old Style" w:eastAsia="MS Mincho" w:hAnsi="Bookman Old Style" w:cs="Times New Roman"/>
          <w:b/>
          <w:bCs/>
          <w:color w:val="548DD4" w:themeColor="text2" w:themeTint="99"/>
          <w:kern w:val="1"/>
          <w:szCs w:val="48"/>
          <w:lang w:eastAsia="ar-SA"/>
        </w:rPr>
      </w:pPr>
      <w:r>
        <w:br w:type="page"/>
      </w:r>
    </w:p>
    <w:p w:rsidR="00AC5151" w:rsidRPr="002F6518" w:rsidRDefault="00C235CC" w:rsidP="002F6518">
      <w:pPr>
        <w:pStyle w:val="Titolo1"/>
      </w:pPr>
      <w:bookmarkStart w:id="1" w:name="_Toc480289410"/>
      <w:r w:rsidRPr="002F6518">
        <w:lastRenderedPageBreak/>
        <w:t>Introduzione e sintesi</w:t>
      </w:r>
      <w:bookmarkEnd w:id="1"/>
    </w:p>
    <w:p w:rsidR="00DA0A62" w:rsidRDefault="00826620" w:rsidP="0036040D">
      <w:pPr>
        <w:spacing w:after="120" w:line="259" w:lineRule="auto"/>
        <w:jc w:val="both"/>
        <w:rPr>
          <w:rFonts w:ascii="Bookman Old Style" w:hAnsi="Bookman Old Style"/>
        </w:rPr>
      </w:pPr>
      <w:r>
        <w:rPr>
          <w:rFonts w:ascii="Bookman Old Style" w:hAnsi="Bookman Old Style"/>
        </w:rPr>
        <w:t xml:space="preserve">L’ANCI </w:t>
      </w:r>
      <w:r>
        <w:rPr>
          <w:rFonts w:ascii="Bookman Old Style" w:hAnsi="Bookman Old Style"/>
          <w:b/>
        </w:rPr>
        <w:t>esprime un complessivo apprezzamento</w:t>
      </w:r>
      <w:r>
        <w:rPr>
          <w:rFonts w:ascii="Bookman Old Style" w:hAnsi="Bookman Old Style"/>
        </w:rPr>
        <w:t xml:space="preserve"> circa le principali linee di azione individuate con il Documento di economia e finanza 2017, volte </w:t>
      </w:r>
      <w:r w:rsidR="0014264B">
        <w:rPr>
          <w:rFonts w:ascii="Bookman Old Style" w:hAnsi="Bookman Old Style"/>
        </w:rPr>
        <w:t xml:space="preserve">a </w:t>
      </w:r>
      <w:r w:rsidR="00DA0A62">
        <w:rPr>
          <w:rFonts w:ascii="Bookman Old Style" w:hAnsi="Bookman Old Style"/>
        </w:rPr>
        <w:t xml:space="preserve">consolidare </w:t>
      </w:r>
      <w:r>
        <w:rPr>
          <w:rFonts w:ascii="Bookman Old Style" w:hAnsi="Bookman Old Style"/>
        </w:rPr>
        <w:t xml:space="preserve">i segnali di ripresa dell’economia italiana avviandola verso uno stabile percorso di sviluppo, comunque nel rispetto della tenuta dei conti pubblici e </w:t>
      </w:r>
      <w:r w:rsidR="00DA0A62">
        <w:rPr>
          <w:rFonts w:ascii="Bookman Old Style" w:hAnsi="Bookman Old Style"/>
        </w:rPr>
        <w:t xml:space="preserve">a fronte dei rischi di </w:t>
      </w:r>
      <w:r>
        <w:rPr>
          <w:rFonts w:ascii="Bookman Old Style" w:hAnsi="Bookman Old Style"/>
        </w:rPr>
        <w:t xml:space="preserve">instabilità </w:t>
      </w:r>
      <w:r w:rsidR="00DA0A62">
        <w:rPr>
          <w:rFonts w:ascii="Bookman Old Style" w:hAnsi="Bookman Old Style"/>
        </w:rPr>
        <w:t xml:space="preserve">provenienti dal </w:t>
      </w:r>
      <w:r w:rsidR="0014264B">
        <w:rPr>
          <w:rFonts w:ascii="Bookman Old Style" w:hAnsi="Bookman Old Style"/>
        </w:rPr>
        <w:t>quadro geo-politico e macro</w:t>
      </w:r>
      <w:r>
        <w:rPr>
          <w:rFonts w:ascii="Bookman Old Style" w:hAnsi="Bookman Old Style"/>
        </w:rPr>
        <w:t>economico internazionale. In tale prospettiva devono essere positivamente valutate le politiche a sostegno degli investimenti, pubblici e privati, per il contrasto all’evasione fiscale e alla razionalizzazione della spesa pubblica. Si tratta di obiettivi cruciali per la crescita del paese e per la stabilizzazione strutturale della finanza pubblica, al cui perseguimento il comparto comunale ha già responsabilmente contribuito negli anni più duri della crisi, mentre oggi si candida a mantenere un ruolo centrale nella fase di rilancio economico</w:t>
      </w:r>
      <w:r w:rsidR="00DA0A62">
        <w:rPr>
          <w:rFonts w:ascii="Bookman Old Style" w:hAnsi="Bookman Old Style"/>
        </w:rPr>
        <w:t xml:space="preserve"> in particolare sotto il profilo della stabile ripresa degli investimenti pubblici</w:t>
      </w:r>
      <w:r>
        <w:rPr>
          <w:rFonts w:ascii="Bookman Old Style" w:hAnsi="Bookman Old Style"/>
        </w:rPr>
        <w:t xml:space="preserve">. </w:t>
      </w:r>
    </w:p>
    <w:p w:rsidR="00AC5151" w:rsidRDefault="00DA0A62" w:rsidP="0036040D">
      <w:pPr>
        <w:spacing w:after="120" w:line="259" w:lineRule="auto"/>
        <w:jc w:val="both"/>
        <w:rPr>
          <w:rFonts w:ascii="Bookman Old Style" w:hAnsi="Bookman Old Style"/>
        </w:rPr>
      </w:pPr>
      <w:r>
        <w:rPr>
          <w:rFonts w:ascii="Bookman Old Style" w:hAnsi="Bookman Old Style"/>
        </w:rPr>
        <w:t xml:space="preserve">Questa </w:t>
      </w:r>
      <w:r w:rsidR="00826620">
        <w:rPr>
          <w:rFonts w:ascii="Bookman Old Style" w:hAnsi="Bookman Old Style"/>
        </w:rPr>
        <w:t xml:space="preserve">funzione si </w:t>
      </w:r>
      <w:r>
        <w:rPr>
          <w:rFonts w:ascii="Bookman Old Style" w:hAnsi="Bookman Old Style"/>
        </w:rPr>
        <w:t xml:space="preserve">deve poter </w:t>
      </w:r>
      <w:r w:rsidR="00826620">
        <w:rPr>
          <w:rFonts w:ascii="Bookman Old Style" w:hAnsi="Bookman Old Style"/>
        </w:rPr>
        <w:t>realizz</w:t>
      </w:r>
      <w:r>
        <w:rPr>
          <w:rFonts w:ascii="Bookman Old Style" w:hAnsi="Bookman Old Style"/>
        </w:rPr>
        <w:t xml:space="preserve">are in un </w:t>
      </w:r>
      <w:r w:rsidR="00826620">
        <w:rPr>
          <w:rFonts w:ascii="Bookman Old Style" w:hAnsi="Bookman Old Style"/>
        </w:rPr>
        <w:t xml:space="preserve">contesto di maggiore solidità finanziaria </w:t>
      </w:r>
      <w:r>
        <w:rPr>
          <w:rFonts w:ascii="Bookman Old Style" w:hAnsi="Bookman Old Style"/>
        </w:rPr>
        <w:t xml:space="preserve">così da assicurare </w:t>
      </w:r>
      <w:r w:rsidR="00826620">
        <w:rPr>
          <w:rFonts w:ascii="Bookman Old Style" w:hAnsi="Bookman Old Style"/>
        </w:rPr>
        <w:t>l’ordinato svolgimento delle funzioni fondamentali nonché l’erogazione dei servizi essenziali</w:t>
      </w:r>
      <w:r>
        <w:rPr>
          <w:rFonts w:ascii="Bookman Old Style" w:hAnsi="Bookman Old Style"/>
        </w:rPr>
        <w:t>, messi a dura prova per fasce non trascurabili di enti dalle politiche finanziarie restrittive del quinquennio 2011-2015</w:t>
      </w:r>
      <w:r w:rsidR="00826620">
        <w:rPr>
          <w:rFonts w:ascii="Bookman Old Style" w:hAnsi="Bookman Old Style"/>
        </w:rPr>
        <w:t>.</w:t>
      </w:r>
    </w:p>
    <w:p w:rsidR="00AC5151" w:rsidRDefault="0014264B" w:rsidP="0036040D">
      <w:pPr>
        <w:spacing w:after="120" w:line="259" w:lineRule="auto"/>
        <w:jc w:val="both"/>
        <w:rPr>
          <w:rFonts w:ascii="Bookman Old Style" w:hAnsi="Bookman Old Style"/>
        </w:rPr>
      </w:pPr>
      <w:r w:rsidRPr="0014264B">
        <w:rPr>
          <w:rFonts w:ascii="Bookman Old Style" w:hAnsi="Bookman Old Style"/>
          <w:b/>
        </w:rPr>
        <w:t>I</w:t>
      </w:r>
      <w:r w:rsidR="00826620">
        <w:rPr>
          <w:rFonts w:ascii="Bookman Old Style" w:hAnsi="Bookman Old Style"/>
          <w:b/>
        </w:rPr>
        <w:t xml:space="preserve">l DEF </w:t>
      </w:r>
      <w:r>
        <w:rPr>
          <w:rFonts w:ascii="Bookman Old Style" w:hAnsi="Bookman Old Style"/>
          <w:b/>
        </w:rPr>
        <w:t xml:space="preserve">2017 </w:t>
      </w:r>
      <w:r w:rsidR="00826620">
        <w:rPr>
          <w:rFonts w:ascii="Bookman Old Style" w:hAnsi="Bookman Old Style"/>
          <w:b/>
        </w:rPr>
        <w:t xml:space="preserve">conferma il cambio di rotta già avviato </w:t>
      </w:r>
      <w:r w:rsidR="005E43B2">
        <w:rPr>
          <w:rFonts w:ascii="Bookman Old Style" w:hAnsi="Bookman Old Style"/>
          <w:b/>
        </w:rPr>
        <w:t>dal</w:t>
      </w:r>
      <w:r w:rsidR="00826620">
        <w:rPr>
          <w:rFonts w:ascii="Bookman Old Style" w:hAnsi="Bookman Old Style"/>
          <w:b/>
        </w:rPr>
        <w:t xml:space="preserve"> 2016</w:t>
      </w:r>
      <w:r w:rsidR="00826620">
        <w:rPr>
          <w:rFonts w:ascii="Bookman Old Style" w:hAnsi="Bookman Old Style"/>
        </w:rPr>
        <w:t xml:space="preserve"> che ha portato ad una </w:t>
      </w:r>
      <w:r>
        <w:rPr>
          <w:rFonts w:ascii="Bookman Old Style" w:hAnsi="Bookman Old Style"/>
        </w:rPr>
        <w:t xml:space="preserve">progressiva </w:t>
      </w:r>
      <w:r w:rsidR="00826620">
        <w:rPr>
          <w:rFonts w:ascii="Bookman Old Style" w:hAnsi="Bookman Old Style"/>
        </w:rPr>
        <w:t xml:space="preserve">stabilizzazione dei meccanismi di regolazione del rapporto tra </w:t>
      </w:r>
      <w:r w:rsidR="00DA0A62">
        <w:rPr>
          <w:rFonts w:ascii="Bookman Old Style" w:hAnsi="Bookman Old Style"/>
        </w:rPr>
        <w:t>S</w:t>
      </w:r>
      <w:r w:rsidR="00826620">
        <w:rPr>
          <w:rFonts w:ascii="Bookman Old Style" w:hAnsi="Bookman Old Style"/>
        </w:rPr>
        <w:t>tato ed enti locali ed alla chiusura di una lunga stagione di riduzione delle risorse disponibili.</w:t>
      </w:r>
    </w:p>
    <w:p w:rsidR="001B7D1B" w:rsidRDefault="00826620" w:rsidP="0036040D">
      <w:pPr>
        <w:spacing w:after="120" w:line="259" w:lineRule="auto"/>
        <w:jc w:val="both"/>
        <w:rPr>
          <w:rFonts w:ascii="Bookman Old Style" w:hAnsi="Bookman Old Style"/>
        </w:rPr>
      </w:pPr>
      <w:r>
        <w:rPr>
          <w:rFonts w:ascii="Bookman Old Style" w:hAnsi="Bookman Old Style"/>
          <w:b/>
        </w:rPr>
        <w:t xml:space="preserve">E’ comunque </w:t>
      </w:r>
      <w:r w:rsidR="0014264B">
        <w:rPr>
          <w:rFonts w:ascii="Bookman Old Style" w:hAnsi="Bookman Old Style"/>
          <w:b/>
        </w:rPr>
        <w:t xml:space="preserve">doveroso </w:t>
      </w:r>
      <w:r>
        <w:rPr>
          <w:rFonts w:ascii="Bookman Old Style" w:hAnsi="Bookman Old Style"/>
          <w:b/>
        </w:rPr>
        <w:t>sottolineare l’e</w:t>
      </w:r>
      <w:r w:rsidR="00C8446A">
        <w:rPr>
          <w:rFonts w:ascii="Bookman Old Style" w:hAnsi="Bookman Old Style"/>
          <w:b/>
        </w:rPr>
        <w:t xml:space="preserve">ntità dello sforzo richiesto ai Comuni </w:t>
      </w:r>
      <w:r>
        <w:rPr>
          <w:rFonts w:ascii="Bookman Old Style" w:hAnsi="Bookman Old Style"/>
          <w:b/>
        </w:rPr>
        <w:t>nel periodo 2011-2015</w:t>
      </w:r>
      <w:r>
        <w:rPr>
          <w:rFonts w:ascii="Bookman Old Style" w:hAnsi="Bookman Old Style"/>
        </w:rPr>
        <w:t xml:space="preserve">, pari ad oltre </w:t>
      </w:r>
      <w:r w:rsidR="0014264B">
        <w:rPr>
          <w:rFonts w:ascii="Bookman Old Style" w:hAnsi="Bookman Old Style"/>
        </w:rPr>
        <w:t>9</w:t>
      </w:r>
      <w:r>
        <w:rPr>
          <w:rFonts w:ascii="Bookman Old Style" w:hAnsi="Bookman Old Style"/>
        </w:rPr>
        <w:t xml:space="preserve"> miliardi di euro </w:t>
      </w:r>
      <w:r w:rsidR="0014264B">
        <w:rPr>
          <w:rFonts w:ascii="Bookman Old Style" w:hAnsi="Bookman Old Style"/>
        </w:rPr>
        <w:t xml:space="preserve">di </w:t>
      </w:r>
      <w:r>
        <w:rPr>
          <w:rFonts w:ascii="Bookman Old Style" w:hAnsi="Bookman Old Style"/>
        </w:rPr>
        <w:t xml:space="preserve">tagli alle risorse </w:t>
      </w:r>
      <w:r w:rsidR="0014264B">
        <w:rPr>
          <w:rFonts w:ascii="Bookman Old Style" w:hAnsi="Bookman Old Style"/>
        </w:rPr>
        <w:t xml:space="preserve">cui si sono aggiunti i maggiori </w:t>
      </w:r>
      <w:r w:rsidR="001B7D1B">
        <w:rPr>
          <w:rFonts w:ascii="Bookman Old Style" w:hAnsi="Bookman Old Style"/>
        </w:rPr>
        <w:t xml:space="preserve">vincoli di finanza pubblica. Gli effetti di tali interventi, molto differenziati a seconda delle caratteristiche degli enti, condizionano inevitabilmente il </w:t>
      </w:r>
      <w:r w:rsidR="00C8446A">
        <w:rPr>
          <w:rFonts w:ascii="Bookman Old Style" w:hAnsi="Bookman Old Style"/>
        </w:rPr>
        <w:t xml:space="preserve">loro </w:t>
      </w:r>
      <w:r>
        <w:rPr>
          <w:rFonts w:ascii="Bookman Old Style" w:hAnsi="Bookman Old Style"/>
        </w:rPr>
        <w:t xml:space="preserve">pieno coinvolgimento nell’attuazione di politiche di crescita economica e di sviluppo territoriale. </w:t>
      </w:r>
    </w:p>
    <w:p w:rsidR="00C235CC" w:rsidRPr="00BA77CA" w:rsidRDefault="00BA77CA" w:rsidP="00BA77CA">
      <w:pPr>
        <w:spacing w:after="0" w:line="240" w:lineRule="auto"/>
        <w:jc w:val="both"/>
        <w:rPr>
          <w:rFonts w:ascii="Arial Narrow" w:hAnsi="Arial Narrow" w:cs="Arial"/>
          <w:b/>
          <w:sz w:val="20"/>
          <w:szCs w:val="20"/>
        </w:rPr>
      </w:pPr>
      <w:r w:rsidRPr="00BA77CA">
        <w:rPr>
          <w:rFonts w:ascii="Arial Narrow" w:hAnsi="Arial Narrow" w:cs="Arial"/>
          <w:b/>
          <w:sz w:val="20"/>
          <w:szCs w:val="20"/>
        </w:rPr>
        <w:t>Le manovre sui Comuni 2010-2016. Importi in milioni di euro</w:t>
      </w:r>
    </w:p>
    <w:p w:rsidR="00AC5151" w:rsidRDefault="00BA77CA" w:rsidP="0036040D">
      <w:pPr>
        <w:spacing w:after="120" w:line="259" w:lineRule="auto"/>
        <w:jc w:val="both"/>
        <w:rPr>
          <w:rFonts w:ascii="Bookman Old Style" w:hAnsi="Bookman Old Style"/>
          <w:color w:val="FF0000"/>
        </w:rPr>
      </w:pPr>
      <w:r w:rsidRPr="00BA77CA">
        <w:rPr>
          <w:noProof/>
          <w:lang w:eastAsia="it-IT"/>
        </w:rPr>
        <w:drawing>
          <wp:inline distT="0" distB="0" distL="0" distR="0">
            <wp:extent cx="6120130" cy="2550744"/>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550744"/>
                    </a:xfrm>
                    <a:prstGeom prst="rect">
                      <a:avLst/>
                    </a:prstGeom>
                    <a:noFill/>
                    <a:ln>
                      <a:noFill/>
                    </a:ln>
                  </pic:spPr>
                </pic:pic>
              </a:graphicData>
            </a:graphic>
          </wp:inline>
        </w:drawing>
      </w:r>
    </w:p>
    <w:p w:rsidR="00C235CC" w:rsidRDefault="00C235CC" w:rsidP="0036040D">
      <w:pPr>
        <w:spacing w:after="120" w:line="259" w:lineRule="auto"/>
        <w:jc w:val="both"/>
        <w:rPr>
          <w:rFonts w:ascii="Bookman Old Style" w:hAnsi="Bookman Old Style"/>
        </w:rPr>
      </w:pPr>
    </w:p>
    <w:p w:rsidR="00AC5151" w:rsidRDefault="001B7D1B" w:rsidP="0036040D">
      <w:pPr>
        <w:spacing w:after="120" w:line="259" w:lineRule="auto"/>
        <w:jc w:val="both"/>
        <w:rPr>
          <w:rFonts w:ascii="Bookman Old Style" w:hAnsi="Bookman Old Style"/>
        </w:rPr>
      </w:pPr>
      <w:r>
        <w:rPr>
          <w:rFonts w:ascii="Bookman Old Style" w:hAnsi="Bookman Old Style"/>
        </w:rPr>
        <w:lastRenderedPageBreak/>
        <w:t>Il contributo richiesto per il risanamento dei conti pubblici,</w:t>
      </w:r>
      <w:r w:rsidR="00C27437">
        <w:rPr>
          <w:rFonts w:ascii="Bookman Old Style" w:hAnsi="Bookman Old Style"/>
        </w:rPr>
        <w:t xml:space="preserve"> gli effetti restrittivi della </w:t>
      </w:r>
      <w:r>
        <w:rPr>
          <w:rFonts w:ascii="Bookman Old Style" w:hAnsi="Bookman Old Style"/>
        </w:rPr>
        <w:t xml:space="preserve">nuova contabilità, il congelamento della manovrabilità della leva tributaria locale ed il concomitante avvio della perequazione, hanno concorso ad una </w:t>
      </w:r>
      <w:r>
        <w:rPr>
          <w:rFonts w:ascii="Bookman Old Style" w:hAnsi="Bookman Old Style"/>
          <w:b/>
        </w:rPr>
        <w:t xml:space="preserve">forte compressione dell’autonomia </w:t>
      </w:r>
      <w:r w:rsidR="006F6E8B">
        <w:rPr>
          <w:rFonts w:ascii="Bookman Old Style" w:hAnsi="Bookman Old Style"/>
          <w:b/>
        </w:rPr>
        <w:t xml:space="preserve">politico-amministrativa dei Comuni </w:t>
      </w:r>
      <w:r w:rsidR="00B72859" w:rsidRPr="00B72859">
        <w:rPr>
          <w:rFonts w:ascii="Bookman Old Style" w:hAnsi="Bookman Old Style"/>
        </w:rPr>
        <w:t>ed</w:t>
      </w:r>
      <w:r w:rsidR="00B72859">
        <w:rPr>
          <w:rFonts w:ascii="Bookman Old Style" w:hAnsi="Bookman Old Style"/>
          <w:b/>
        </w:rPr>
        <w:t xml:space="preserve"> </w:t>
      </w:r>
      <w:r>
        <w:rPr>
          <w:rFonts w:ascii="Bookman Old Style" w:hAnsi="Bookman Old Style"/>
        </w:rPr>
        <w:t>hanno altresì richiesto uno sforzo</w:t>
      </w:r>
      <w:r w:rsidR="00B72859">
        <w:rPr>
          <w:rFonts w:ascii="Bookman Old Style" w:hAnsi="Bookman Old Style"/>
        </w:rPr>
        <w:t xml:space="preserve"> eccezionale</w:t>
      </w:r>
      <w:r>
        <w:rPr>
          <w:rFonts w:ascii="Bookman Old Style" w:hAnsi="Bookman Old Style"/>
        </w:rPr>
        <w:t xml:space="preserve">, tuttora in atto, </w:t>
      </w:r>
      <w:r w:rsidR="00B72859">
        <w:rPr>
          <w:rFonts w:ascii="Bookman Old Style" w:hAnsi="Bookman Old Style"/>
        </w:rPr>
        <w:t>per l’</w:t>
      </w:r>
      <w:r>
        <w:rPr>
          <w:rFonts w:ascii="Bookman Old Style" w:hAnsi="Bookman Old Style"/>
        </w:rPr>
        <w:t xml:space="preserve">adeguamento ai nuovi paradigmi. </w:t>
      </w:r>
      <w:r w:rsidR="00826620">
        <w:rPr>
          <w:rFonts w:ascii="Bookman Old Style" w:hAnsi="Bookman Old Style"/>
        </w:rPr>
        <w:t xml:space="preserve">Preme </w:t>
      </w:r>
      <w:r w:rsidR="00B72859">
        <w:rPr>
          <w:rFonts w:ascii="Bookman Old Style" w:hAnsi="Bookman Old Style"/>
        </w:rPr>
        <w:t xml:space="preserve">in proposito </w:t>
      </w:r>
      <w:r w:rsidR="00826620">
        <w:rPr>
          <w:rFonts w:ascii="Bookman Old Style" w:hAnsi="Bookman Old Style"/>
        </w:rPr>
        <w:t xml:space="preserve">evidenziare che, pur in assenza di ulteriori tagli alle risorse, </w:t>
      </w:r>
      <w:r w:rsidR="00826620">
        <w:rPr>
          <w:rFonts w:ascii="Bookman Old Style" w:hAnsi="Bookman Old Style"/>
          <w:b/>
        </w:rPr>
        <w:t xml:space="preserve">la stretta di parte corrente </w:t>
      </w:r>
      <w:r w:rsidR="00B72859">
        <w:rPr>
          <w:rFonts w:ascii="Bookman Old Style" w:hAnsi="Bookman Old Style"/>
          <w:b/>
        </w:rPr>
        <w:t xml:space="preserve">sta continuando a manifestarsi </w:t>
      </w:r>
      <w:r w:rsidR="00826620">
        <w:rPr>
          <w:rFonts w:ascii="Bookman Old Style" w:hAnsi="Bookman Old Style"/>
          <w:b/>
        </w:rPr>
        <w:t>per effetto dell’armonizzazione contabile</w:t>
      </w:r>
      <w:r w:rsidR="00826620">
        <w:rPr>
          <w:rFonts w:ascii="Bookman Old Style" w:hAnsi="Bookman Old Style"/>
        </w:rPr>
        <w:t xml:space="preserve">, dovuta in particolare al progressivo </w:t>
      </w:r>
      <w:r w:rsidR="00B72859">
        <w:rPr>
          <w:rFonts w:ascii="Bookman Old Style" w:hAnsi="Bookman Old Style"/>
        </w:rPr>
        <w:t>adeguamento dell’</w:t>
      </w:r>
      <w:r w:rsidR="00826620">
        <w:rPr>
          <w:rFonts w:ascii="Bookman Old Style" w:hAnsi="Bookman Old Style"/>
        </w:rPr>
        <w:t>accantonamento al Fondo crediti di dubbia esigibilità (FCDE)</w:t>
      </w:r>
      <w:r w:rsidR="00B72859">
        <w:rPr>
          <w:rFonts w:ascii="Bookman Old Style" w:hAnsi="Bookman Old Style"/>
        </w:rPr>
        <w:t>,</w:t>
      </w:r>
      <w:r w:rsidR="00826620">
        <w:rPr>
          <w:rFonts w:ascii="Bookman Old Style" w:hAnsi="Bookman Old Style"/>
        </w:rPr>
        <w:t xml:space="preserve"> per diverse centinaia di milioni annui fino al 2019. </w:t>
      </w:r>
      <w:r w:rsidR="006F6E8B">
        <w:rPr>
          <w:rFonts w:ascii="Bookman Old Style" w:hAnsi="Bookman Old Style"/>
        </w:rPr>
        <w:t>Gli accantonamenti al FCDE e agli altri fondi rischi previsti dalla normativa ammontano a fine 2016 a circa 3,5 miliardi di euro, con impatti molto differenziati per le diverse fasce di enti.</w:t>
      </w:r>
    </w:p>
    <w:tbl>
      <w:tblPr>
        <w:tblW w:w="7380" w:type="dxa"/>
        <w:jc w:val="center"/>
        <w:tblCellMar>
          <w:left w:w="70" w:type="dxa"/>
          <w:right w:w="70" w:type="dxa"/>
        </w:tblCellMar>
        <w:tblLook w:val="04A0"/>
      </w:tblPr>
      <w:tblGrid>
        <w:gridCol w:w="4413"/>
        <w:gridCol w:w="851"/>
        <w:gridCol w:w="851"/>
        <w:gridCol w:w="851"/>
        <w:gridCol w:w="414"/>
      </w:tblGrid>
      <w:tr w:rsidR="003D14BA" w:rsidRPr="003D14BA" w:rsidTr="003D14BA">
        <w:trPr>
          <w:trHeight w:val="345"/>
          <w:jc w:val="center"/>
        </w:trPr>
        <w:tc>
          <w:tcPr>
            <w:tcW w:w="851" w:type="dxa"/>
            <w:gridSpan w:val="3"/>
            <w:tcBorders>
              <w:top w:val="nil"/>
              <w:left w:val="nil"/>
              <w:bottom w:val="nil"/>
              <w:right w:val="nil"/>
            </w:tcBorders>
            <w:shd w:val="clear" w:color="auto" w:fill="auto"/>
            <w:noWrap/>
            <w:vAlign w:val="center"/>
            <w:hideMark/>
          </w:tcPr>
          <w:p w:rsidR="003D14BA" w:rsidRPr="003D14BA" w:rsidRDefault="003D14BA" w:rsidP="003D14BA">
            <w:pPr>
              <w:spacing w:after="0" w:line="240" w:lineRule="auto"/>
              <w:rPr>
                <w:rFonts w:ascii="Arial Narrow" w:eastAsia="Times New Roman" w:hAnsi="Arial Narrow" w:cs="Times New Roman"/>
                <w:b/>
                <w:bCs/>
                <w:color w:val="000000"/>
                <w:sz w:val="20"/>
                <w:szCs w:val="20"/>
                <w:lang w:eastAsia="it-IT"/>
              </w:rPr>
            </w:pPr>
            <w:r w:rsidRPr="003D14BA">
              <w:rPr>
                <w:rFonts w:ascii="Arial Narrow" w:eastAsia="Times New Roman" w:hAnsi="Arial Narrow" w:cs="Times New Roman"/>
                <w:b/>
                <w:bCs/>
                <w:color w:val="000000"/>
                <w:sz w:val="20"/>
                <w:szCs w:val="20"/>
                <w:lang w:eastAsia="it-IT"/>
              </w:rPr>
              <w:t>Entrate e spese comunali tra il 2015 e il 2016 - Importi in mld. di euro</w:t>
            </w:r>
          </w:p>
        </w:tc>
        <w:tc>
          <w:tcPr>
            <w:tcW w:w="851" w:type="dxa"/>
            <w:gridSpan w:val="2"/>
            <w:tcBorders>
              <w:top w:val="nil"/>
              <w:left w:val="nil"/>
              <w:bottom w:val="nil"/>
              <w:right w:val="nil"/>
            </w:tcBorders>
            <w:shd w:val="clear" w:color="auto" w:fill="auto"/>
            <w:noWrap/>
            <w:vAlign w:val="center"/>
            <w:hideMark/>
          </w:tcPr>
          <w:p w:rsidR="003D14BA" w:rsidRPr="003D14BA" w:rsidRDefault="003D14BA" w:rsidP="003D14BA">
            <w:pPr>
              <w:spacing w:after="0" w:line="240" w:lineRule="auto"/>
              <w:rPr>
                <w:rFonts w:ascii="Arial Narrow" w:eastAsia="Times New Roman" w:hAnsi="Arial Narrow" w:cs="Times New Roman"/>
                <w:b/>
                <w:bCs/>
                <w:color w:val="000000"/>
                <w:sz w:val="20"/>
                <w:szCs w:val="20"/>
                <w:lang w:eastAsia="it-IT"/>
              </w:rPr>
            </w:pPr>
          </w:p>
        </w:tc>
      </w:tr>
      <w:tr w:rsidR="003D14BA" w:rsidRPr="003D14BA" w:rsidTr="003D14BA">
        <w:trPr>
          <w:gridAfter w:val="1"/>
          <w:wAfter w:w="415" w:type="dxa"/>
          <w:trHeight w:val="300"/>
          <w:jc w:val="center"/>
        </w:trPr>
        <w:tc>
          <w:tcPr>
            <w:tcW w:w="4413" w:type="dxa"/>
            <w:tcBorders>
              <w:top w:val="nil"/>
              <w:left w:val="nil"/>
              <w:bottom w:val="single" w:sz="4" w:space="0" w:color="auto"/>
              <w:right w:val="nil"/>
            </w:tcBorders>
            <w:shd w:val="clear" w:color="000000" w:fill="F2F2F2"/>
            <w:noWrap/>
            <w:vAlign w:val="center"/>
            <w:hideMark/>
          </w:tcPr>
          <w:p w:rsidR="003D14BA" w:rsidRPr="003D14BA" w:rsidRDefault="003D14BA" w:rsidP="003D14BA">
            <w:pPr>
              <w:spacing w:after="0" w:line="240" w:lineRule="auto"/>
              <w:jc w:val="center"/>
              <w:rPr>
                <w:rFonts w:ascii="Arial Narrow" w:eastAsia="Times New Roman" w:hAnsi="Arial Narrow" w:cs="Times New Roman"/>
                <w:b/>
                <w:bCs/>
                <w:color w:val="000000"/>
                <w:sz w:val="16"/>
                <w:szCs w:val="16"/>
                <w:lang w:eastAsia="it-IT"/>
              </w:rPr>
            </w:pPr>
            <w:r w:rsidRPr="003D14BA">
              <w:rPr>
                <w:rFonts w:ascii="Arial Narrow" w:eastAsia="Times New Roman" w:hAnsi="Arial Narrow" w:cs="Times New Roman"/>
                <w:b/>
                <w:bCs/>
                <w:color w:val="000000"/>
                <w:sz w:val="16"/>
                <w:szCs w:val="16"/>
                <w:lang w:eastAsia="it-IT"/>
              </w:rPr>
              <w:t> </w:t>
            </w:r>
          </w:p>
        </w:tc>
        <w:tc>
          <w:tcPr>
            <w:tcW w:w="851" w:type="dxa"/>
            <w:tcBorders>
              <w:top w:val="nil"/>
              <w:left w:val="nil"/>
              <w:bottom w:val="single" w:sz="4" w:space="0" w:color="auto"/>
              <w:right w:val="nil"/>
            </w:tcBorders>
            <w:shd w:val="clear" w:color="000000" w:fill="F2F2F2"/>
            <w:noWrap/>
            <w:vAlign w:val="center"/>
            <w:hideMark/>
          </w:tcPr>
          <w:p w:rsidR="003D14BA" w:rsidRPr="003D14BA" w:rsidRDefault="003D14BA" w:rsidP="003D14BA">
            <w:pPr>
              <w:spacing w:after="0" w:line="240" w:lineRule="auto"/>
              <w:jc w:val="center"/>
              <w:rPr>
                <w:rFonts w:ascii="Arial Narrow" w:eastAsia="Times New Roman" w:hAnsi="Arial Narrow" w:cs="Times New Roman"/>
                <w:b/>
                <w:bCs/>
                <w:color w:val="000000"/>
                <w:sz w:val="20"/>
                <w:szCs w:val="20"/>
                <w:lang w:eastAsia="it-IT"/>
              </w:rPr>
            </w:pPr>
            <w:r w:rsidRPr="003D14BA">
              <w:rPr>
                <w:rFonts w:ascii="Arial Narrow" w:eastAsia="Times New Roman" w:hAnsi="Arial Narrow" w:cs="Times New Roman"/>
                <w:b/>
                <w:bCs/>
                <w:color w:val="000000"/>
                <w:sz w:val="20"/>
                <w:szCs w:val="20"/>
                <w:lang w:eastAsia="it-IT"/>
              </w:rPr>
              <w:t>2015</w:t>
            </w:r>
          </w:p>
        </w:tc>
        <w:tc>
          <w:tcPr>
            <w:tcW w:w="851" w:type="dxa"/>
            <w:tcBorders>
              <w:top w:val="nil"/>
              <w:left w:val="nil"/>
              <w:bottom w:val="single" w:sz="4" w:space="0" w:color="auto"/>
              <w:right w:val="nil"/>
            </w:tcBorders>
            <w:shd w:val="clear" w:color="000000" w:fill="F2F2F2"/>
            <w:noWrap/>
            <w:vAlign w:val="center"/>
            <w:hideMark/>
          </w:tcPr>
          <w:p w:rsidR="003D14BA" w:rsidRPr="003D14BA" w:rsidRDefault="003D14BA" w:rsidP="003D14BA">
            <w:pPr>
              <w:spacing w:after="0" w:line="240" w:lineRule="auto"/>
              <w:jc w:val="center"/>
              <w:rPr>
                <w:rFonts w:ascii="Arial Narrow" w:eastAsia="Times New Roman" w:hAnsi="Arial Narrow" w:cs="Times New Roman"/>
                <w:b/>
                <w:bCs/>
                <w:color w:val="000000"/>
                <w:sz w:val="20"/>
                <w:szCs w:val="20"/>
                <w:lang w:eastAsia="it-IT"/>
              </w:rPr>
            </w:pPr>
            <w:r w:rsidRPr="003D14BA">
              <w:rPr>
                <w:rFonts w:ascii="Arial Narrow" w:eastAsia="Times New Roman" w:hAnsi="Arial Narrow" w:cs="Times New Roman"/>
                <w:b/>
                <w:bCs/>
                <w:color w:val="000000"/>
                <w:sz w:val="20"/>
                <w:szCs w:val="20"/>
                <w:lang w:eastAsia="it-IT"/>
              </w:rPr>
              <w:t>2016</w:t>
            </w:r>
          </w:p>
        </w:tc>
        <w:tc>
          <w:tcPr>
            <w:tcW w:w="851" w:type="dxa"/>
            <w:tcBorders>
              <w:top w:val="nil"/>
              <w:left w:val="nil"/>
              <w:bottom w:val="single" w:sz="4" w:space="0" w:color="auto"/>
              <w:right w:val="nil"/>
            </w:tcBorders>
            <w:shd w:val="clear" w:color="000000" w:fill="F2F2F2"/>
            <w:noWrap/>
            <w:vAlign w:val="center"/>
            <w:hideMark/>
          </w:tcPr>
          <w:p w:rsidR="003D14BA" w:rsidRPr="003D14BA" w:rsidRDefault="003D14BA" w:rsidP="003D14BA">
            <w:pPr>
              <w:spacing w:after="0" w:line="240" w:lineRule="auto"/>
              <w:jc w:val="center"/>
              <w:rPr>
                <w:rFonts w:ascii="Arial Narrow" w:eastAsia="Times New Roman" w:hAnsi="Arial Narrow" w:cs="Times New Roman"/>
                <w:b/>
                <w:bCs/>
                <w:color w:val="000000"/>
                <w:sz w:val="18"/>
                <w:szCs w:val="18"/>
                <w:lang w:eastAsia="it-IT"/>
              </w:rPr>
            </w:pPr>
            <w:r w:rsidRPr="003D14BA">
              <w:rPr>
                <w:rFonts w:ascii="Arial Narrow" w:eastAsia="Times New Roman" w:hAnsi="Arial Narrow" w:cs="Times New Roman"/>
                <w:b/>
                <w:bCs/>
                <w:color w:val="000000"/>
                <w:sz w:val="18"/>
                <w:szCs w:val="18"/>
                <w:lang w:eastAsia="it-IT"/>
              </w:rPr>
              <w:t>Var. %</w:t>
            </w:r>
          </w:p>
        </w:tc>
      </w:tr>
      <w:tr w:rsidR="003D14BA" w:rsidRPr="003D14BA" w:rsidTr="003D14BA">
        <w:trPr>
          <w:gridAfter w:val="1"/>
          <w:wAfter w:w="415" w:type="dxa"/>
          <w:trHeight w:val="330"/>
          <w:jc w:val="center"/>
        </w:trPr>
        <w:tc>
          <w:tcPr>
            <w:tcW w:w="4413"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Entrate - Accertamenti correnti</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56,5</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55,7</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i/>
                <w:iCs/>
                <w:color w:val="000000"/>
                <w:sz w:val="18"/>
                <w:szCs w:val="18"/>
                <w:lang w:eastAsia="it-IT"/>
              </w:rPr>
            </w:pPr>
            <w:r w:rsidRPr="003D14BA">
              <w:rPr>
                <w:rFonts w:ascii="Arial Narrow" w:eastAsia="Times New Roman" w:hAnsi="Arial Narrow" w:cs="Times New Roman"/>
                <w:i/>
                <w:iCs/>
                <w:color w:val="000000"/>
                <w:sz w:val="18"/>
                <w:szCs w:val="18"/>
                <w:lang w:eastAsia="it-IT"/>
              </w:rPr>
              <w:t>-1,4%</w:t>
            </w:r>
          </w:p>
        </w:tc>
      </w:tr>
      <w:tr w:rsidR="003D14BA" w:rsidRPr="003D14BA" w:rsidTr="003D14BA">
        <w:trPr>
          <w:gridAfter w:val="1"/>
          <w:wAfter w:w="415" w:type="dxa"/>
          <w:trHeight w:val="330"/>
          <w:jc w:val="center"/>
        </w:trPr>
        <w:tc>
          <w:tcPr>
            <w:tcW w:w="4413"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Spese - Impegni correnti</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51,1</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50,1</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i/>
                <w:iCs/>
                <w:color w:val="000000"/>
                <w:sz w:val="18"/>
                <w:szCs w:val="18"/>
                <w:lang w:eastAsia="it-IT"/>
              </w:rPr>
            </w:pPr>
            <w:r w:rsidRPr="003D14BA">
              <w:rPr>
                <w:rFonts w:ascii="Arial Narrow" w:eastAsia="Times New Roman" w:hAnsi="Arial Narrow" w:cs="Times New Roman"/>
                <w:i/>
                <w:iCs/>
                <w:color w:val="000000"/>
                <w:sz w:val="18"/>
                <w:szCs w:val="18"/>
                <w:lang w:eastAsia="it-IT"/>
              </w:rPr>
              <w:t>-2,1%</w:t>
            </w:r>
          </w:p>
        </w:tc>
      </w:tr>
      <w:tr w:rsidR="003D14BA" w:rsidRPr="003D14BA" w:rsidTr="003D14BA">
        <w:trPr>
          <w:gridAfter w:val="1"/>
          <w:wAfter w:w="415" w:type="dxa"/>
          <w:trHeight w:val="330"/>
          <w:jc w:val="center"/>
        </w:trPr>
        <w:tc>
          <w:tcPr>
            <w:tcW w:w="4413"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Accantonamenti correnti FCDE e altri Fondi rischi</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2,5</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3,5</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i/>
                <w:iCs/>
                <w:color w:val="000000"/>
                <w:sz w:val="18"/>
                <w:szCs w:val="18"/>
                <w:lang w:eastAsia="it-IT"/>
              </w:rPr>
            </w:pPr>
            <w:r w:rsidRPr="003D14BA">
              <w:rPr>
                <w:rFonts w:ascii="Arial Narrow" w:eastAsia="Times New Roman" w:hAnsi="Arial Narrow" w:cs="Times New Roman"/>
                <w:i/>
                <w:iCs/>
                <w:color w:val="000000"/>
                <w:sz w:val="18"/>
                <w:szCs w:val="18"/>
                <w:lang w:eastAsia="it-IT"/>
              </w:rPr>
              <w:t>40,5%</w:t>
            </w:r>
          </w:p>
        </w:tc>
      </w:tr>
      <w:tr w:rsidR="003D14BA" w:rsidRPr="003D14BA" w:rsidTr="003D14BA">
        <w:trPr>
          <w:gridAfter w:val="1"/>
          <w:wAfter w:w="415" w:type="dxa"/>
          <w:trHeight w:val="330"/>
          <w:jc w:val="center"/>
        </w:trPr>
        <w:tc>
          <w:tcPr>
            <w:tcW w:w="4413"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Investimenti fissi lordi - Impegni</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b/>
                <w:bCs/>
                <w:color w:val="000000"/>
                <w:sz w:val="20"/>
                <w:szCs w:val="20"/>
                <w:lang w:eastAsia="it-IT"/>
              </w:rPr>
            </w:pPr>
            <w:r w:rsidRPr="003D14BA">
              <w:rPr>
                <w:rFonts w:ascii="Arial Narrow" w:eastAsia="Times New Roman" w:hAnsi="Arial Narrow" w:cs="Times New Roman"/>
                <w:b/>
                <w:bCs/>
                <w:color w:val="000000"/>
                <w:sz w:val="20"/>
                <w:szCs w:val="20"/>
                <w:lang w:eastAsia="it-IT"/>
              </w:rPr>
              <w:t>10,9</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b/>
                <w:bCs/>
                <w:color w:val="000000"/>
                <w:sz w:val="20"/>
                <w:szCs w:val="20"/>
                <w:lang w:eastAsia="it-IT"/>
              </w:rPr>
            </w:pPr>
            <w:r w:rsidRPr="003D14BA">
              <w:rPr>
                <w:rFonts w:ascii="Arial Narrow" w:eastAsia="Times New Roman" w:hAnsi="Arial Narrow" w:cs="Times New Roman"/>
                <w:b/>
                <w:bCs/>
                <w:color w:val="000000"/>
                <w:sz w:val="20"/>
                <w:szCs w:val="20"/>
                <w:lang w:eastAsia="it-IT"/>
              </w:rPr>
              <w:t>11,6</w:t>
            </w:r>
          </w:p>
        </w:tc>
        <w:tc>
          <w:tcPr>
            <w:tcW w:w="851" w:type="dxa"/>
            <w:tcBorders>
              <w:top w:val="nil"/>
              <w:left w:val="nil"/>
              <w:bottom w:val="nil"/>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i/>
                <w:iCs/>
                <w:color w:val="000000"/>
                <w:sz w:val="18"/>
                <w:szCs w:val="18"/>
                <w:lang w:eastAsia="it-IT"/>
              </w:rPr>
            </w:pPr>
            <w:r w:rsidRPr="003D14BA">
              <w:rPr>
                <w:rFonts w:ascii="Arial Narrow" w:eastAsia="Times New Roman" w:hAnsi="Arial Narrow" w:cs="Times New Roman"/>
                <w:i/>
                <w:iCs/>
                <w:color w:val="000000"/>
                <w:sz w:val="18"/>
                <w:szCs w:val="18"/>
                <w:lang w:eastAsia="it-IT"/>
              </w:rPr>
              <w:t>7,0%</w:t>
            </w:r>
          </w:p>
        </w:tc>
      </w:tr>
      <w:tr w:rsidR="003D14BA" w:rsidRPr="003D14BA" w:rsidTr="003D14BA">
        <w:trPr>
          <w:gridAfter w:val="1"/>
          <w:wAfter w:w="415" w:type="dxa"/>
          <w:trHeight w:val="330"/>
          <w:jc w:val="center"/>
        </w:trPr>
        <w:tc>
          <w:tcPr>
            <w:tcW w:w="4413" w:type="dxa"/>
            <w:tcBorders>
              <w:top w:val="nil"/>
              <w:left w:val="nil"/>
              <w:bottom w:val="single" w:sz="4" w:space="0" w:color="auto"/>
              <w:right w:val="nil"/>
            </w:tcBorders>
            <w:shd w:val="clear" w:color="auto" w:fill="auto"/>
            <w:noWrap/>
            <w:vAlign w:val="center"/>
            <w:hideMark/>
          </w:tcPr>
          <w:p w:rsidR="003D14BA" w:rsidRPr="003D14BA" w:rsidRDefault="003D14BA" w:rsidP="003D14BA">
            <w:pPr>
              <w:spacing w:after="0" w:line="240" w:lineRule="auto"/>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Stock debito</w:t>
            </w:r>
          </w:p>
        </w:tc>
        <w:tc>
          <w:tcPr>
            <w:tcW w:w="851" w:type="dxa"/>
            <w:tcBorders>
              <w:top w:val="nil"/>
              <w:left w:val="nil"/>
              <w:bottom w:val="single" w:sz="4" w:space="0" w:color="auto"/>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41,7</w:t>
            </w:r>
          </w:p>
        </w:tc>
        <w:tc>
          <w:tcPr>
            <w:tcW w:w="851" w:type="dxa"/>
            <w:tcBorders>
              <w:top w:val="nil"/>
              <w:left w:val="nil"/>
              <w:bottom w:val="single" w:sz="4" w:space="0" w:color="auto"/>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color w:val="000000"/>
                <w:sz w:val="20"/>
                <w:szCs w:val="20"/>
                <w:lang w:eastAsia="it-IT"/>
              </w:rPr>
            </w:pPr>
            <w:r w:rsidRPr="003D14BA">
              <w:rPr>
                <w:rFonts w:ascii="Arial Narrow" w:eastAsia="Times New Roman" w:hAnsi="Arial Narrow" w:cs="Times New Roman"/>
                <w:color w:val="000000"/>
                <w:sz w:val="20"/>
                <w:szCs w:val="20"/>
                <w:lang w:eastAsia="it-IT"/>
              </w:rPr>
              <w:t>40,4</w:t>
            </w:r>
          </w:p>
        </w:tc>
        <w:tc>
          <w:tcPr>
            <w:tcW w:w="851" w:type="dxa"/>
            <w:tcBorders>
              <w:top w:val="nil"/>
              <w:left w:val="nil"/>
              <w:bottom w:val="single" w:sz="4" w:space="0" w:color="auto"/>
              <w:right w:val="nil"/>
            </w:tcBorders>
            <w:shd w:val="clear" w:color="auto" w:fill="auto"/>
            <w:noWrap/>
            <w:vAlign w:val="center"/>
            <w:hideMark/>
          </w:tcPr>
          <w:p w:rsidR="003D14BA" w:rsidRPr="003D14BA" w:rsidRDefault="003D14BA" w:rsidP="003D14BA">
            <w:pPr>
              <w:spacing w:after="0" w:line="240" w:lineRule="auto"/>
              <w:jc w:val="center"/>
              <w:rPr>
                <w:rFonts w:ascii="Arial Narrow" w:eastAsia="Times New Roman" w:hAnsi="Arial Narrow" w:cs="Times New Roman"/>
                <w:i/>
                <w:iCs/>
                <w:color w:val="000000"/>
                <w:sz w:val="18"/>
                <w:szCs w:val="18"/>
                <w:lang w:eastAsia="it-IT"/>
              </w:rPr>
            </w:pPr>
            <w:r w:rsidRPr="003D14BA">
              <w:rPr>
                <w:rFonts w:ascii="Arial Narrow" w:eastAsia="Times New Roman" w:hAnsi="Arial Narrow" w:cs="Times New Roman"/>
                <w:i/>
                <w:iCs/>
                <w:color w:val="000000"/>
                <w:sz w:val="18"/>
                <w:szCs w:val="18"/>
                <w:lang w:eastAsia="it-IT"/>
              </w:rPr>
              <w:t>-3,1%</w:t>
            </w:r>
          </w:p>
        </w:tc>
      </w:tr>
    </w:tbl>
    <w:p w:rsidR="00BA77CA" w:rsidRPr="003D14BA" w:rsidRDefault="003D14BA" w:rsidP="003D14BA">
      <w:pPr>
        <w:spacing w:after="120" w:line="259" w:lineRule="auto"/>
        <w:ind w:left="1416"/>
        <w:jc w:val="both"/>
        <w:rPr>
          <w:rFonts w:ascii="Arial Narrow" w:hAnsi="Arial Narrow"/>
          <w:i/>
          <w:sz w:val="16"/>
          <w:szCs w:val="16"/>
        </w:rPr>
      </w:pPr>
      <w:r>
        <w:rPr>
          <w:rFonts w:ascii="Arial Narrow" w:hAnsi="Arial Narrow"/>
          <w:i/>
          <w:sz w:val="16"/>
          <w:szCs w:val="16"/>
        </w:rPr>
        <w:t xml:space="preserve"> </w:t>
      </w:r>
      <w:r w:rsidRPr="003D14BA">
        <w:rPr>
          <w:rFonts w:ascii="Arial Narrow" w:hAnsi="Arial Narrow"/>
          <w:i/>
          <w:sz w:val="16"/>
          <w:szCs w:val="16"/>
        </w:rPr>
        <w:t>Font</w:t>
      </w:r>
      <w:r>
        <w:rPr>
          <w:rFonts w:ascii="Arial Narrow" w:hAnsi="Arial Narrow"/>
          <w:i/>
          <w:sz w:val="16"/>
          <w:szCs w:val="16"/>
        </w:rPr>
        <w:t>e: e</w:t>
      </w:r>
      <w:r w:rsidRPr="003D14BA">
        <w:rPr>
          <w:rFonts w:ascii="Arial Narrow" w:hAnsi="Arial Narrow"/>
          <w:i/>
          <w:sz w:val="16"/>
          <w:szCs w:val="16"/>
        </w:rPr>
        <w:t xml:space="preserve">laborazioni IFEL su dati RGS e Banca d’Italia </w:t>
      </w:r>
    </w:p>
    <w:p w:rsidR="003D14BA" w:rsidRPr="00F620B4" w:rsidRDefault="003D14BA" w:rsidP="0036040D">
      <w:pPr>
        <w:spacing w:after="120" w:line="259" w:lineRule="auto"/>
        <w:jc w:val="both"/>
        <w:rPr>
          <w:rFonts w:ascii="Bookman Old Style" w:hAnsi="Bookman Old Style"/>
          <w:b/>
        </w:rPr>
      </w:pPr>
      <w:r>
        <w:rPr>
          <w:rFonts w:ascii="Bookman Old Style" w:hAnsi="Bookman Old Style"/>
        </w:rPr>
        <w:t>La stretta recata dalle nuove regole contabili è ben visibile nell’andamento delle spese (-2,1%) e nella marcata crescita degli accantonamenti di cui è principa</w:t>
      </w:r>
      <w:r w:rsidR="00A37662">
        <w:rPr>
          <w:rFonts w:ascii="Bookman Old Style" w:hAnsi="Bookman Old Style"/>
        </w:rPr>
        <w:t xml:space="preserve">le componente il FCDE (+1 mld. </w:t>
      </w:r>
      <w:r>
        <w:rPr>
          <w:rFonts w:ascii="Bookman Old Style" w:hAnsi="Bookman Old Style"/>
        </w:rPr>
        <w:t>in un anno), mentre il blocco della leva fiscale contribuisce alla stagnazione delle entrate correnti che si riducono di un -1,4%</w:t>
      </w:r>
      <w:r w:rsidR="00BF35ED">
        <w:rPr>
          <w:rFonts w:ascii="Bookman Old Style" w:hAnsi="Bookman Old Style"/>
        </w:rPr>
        <w:t>.</w:t>
      </w:r>
      <w:r>
        <w:rPr>
          <w:rFonts w:ascii="Bookman Old Style" w:hAnsi="Bookman Old Style"/>
        </w:rPr>
        <w:t xml:space="preserve"> </w:t>
      </w:r>
      <w:r w:rsidR="00F620B4">
        <w:rPr>
          <w:rFonts w:ascii="Bookman Old Style" w:hAnsi="Bookman Old Style"/>
        </w:rPr>
        <w:t xml:space="preserve"> </w:t>
      </w:r>
      <w:r w:rsidR="00F620B4" w:rsidRPr="00F620B4">
        <w:rPr>
          <w:rFonts w:ascii="Bookman Old Style" w:hAnsi="Bookman Old Style"/>
          <w:b/>
        </w:rPr>
        <w:t>Su queste basi</w:t>
      </w:r>
      <w:r w:rsidR="00F620B4">
        <w:rPr>
          <w:rFonts w:ascii="Bookman Old Style" w:hAnsi="Bookman Old Style"/>
          <w:b/>
        </w:rPr>
        <w:t xml:space="preserve">, L’ANCI ritiene che debba </w:t>
      </w:r>
      <w:r w:rsidR="00F620B4" w:rsidRPr="00F620B4">
        <w:rPr>
          <w:rFonts w:ascii="Bookman Old Style" w:hAnsi="Bookman Old Style"/>
          <w:b/>
        </w:rPr>
        <w:t xml:space="preserve">essere nettamente esclusa una ulteriore fase di </w:t>
      </w:r>
      <w:r w:rsidR="00F620B4" w:rsidRPr="00F620B4">
        <w:rPr>
          <w:rFonts w:ascii="Bookman Old Style" w:hAnsi="Bookman Old Style"/>
          <w:b/>
          <w:i/>
        </w:rPr>
        <w:t>spending review</w:t>
      </w:r>
      <w:r w:rsidR="00F620B4" w:rsidRPr="00F620B4">
        <w:rPr>
          <w:rFonts w:ascii="Bookman Old Style" w:hAnsi="Bookman Old Style"/>
          <w:b/>
        </w:rPr>
        <w:t xml:space="preserve"> che comporti ulteriori compressioni delle risorse correnti dei Comuni.</w:t>
      </w:r>
    </w:p>
    <w:p w:rsidR="00A37662" w:rsidRDefault="00A37662" w:rsidP="00A37662">
      <w:pPr>
        <w:spacing w:after="120" w:line="259" w:lineRule="auto"/>
        <w:jc w:val="both"/>
        <w:rPr>
          <w:rFonts w:ascii="Bookman Old Style" w:hAnsi="Bookman Old Style"/>
        </w:rPr>
      </w:pPr>
      <w:r>
        <w:rPr>
          <w:rFonts w:ascii="Bookman Old Style" w:hAnsi="Bookman Old Style"/>
        </w:rPr>
        <w:t xml:space="preserve">Sul versante della </w:t>
      </w:r>
      <w:r>
        <w:rPr>
          <w:rFonts w:ascii="Bookman Old Style" w:hAnsi="Bookman Old Style"/>
          <w:b/>
        </w:rPr>
        <w:t>fiscalità comunale</w:t>
      </w:r>
      <w:r>
        <w:rPr>
          <w:rFonts w:ascii="Bookman Old Style" w:hAnsi="Bookman Old Style"/>
        </w:rPr>
        <w:t xml:space="preserve">, desta preoccupazione che anche nel DEF 2017 sia stato accantonato il tema della razionalizzazione e del riordino dei prelievi locali, con l’ipotesi di una </w:t>
      </w:r>
      <w:r w:rsidRPr="00B72859">
        <w:rPr>
          <w:rFonts w:ascii="Bookman Old Style" w:hAnsi="Bookman Old Style"/>
        </w:rPr>
        <w:t>revisione</w:t>
      </w:r>
      <w:r>
        <w:rPr>
          <w:rFonts w:ascii="Bookman Old Style" w:hAnsi="Bookman Old Style"/>
          <w:i/>
        </w:rPr>
        <w:t xml:space="preserve"> </w:t>
      </w:r>
      <w:r>
        <w:rPr>
          <w:rFonts w:ascii="Bookman Old Style" w:hAnsi="Bookman Old Style"/>
        </w:rPr>
        <w:t xml:space="preserve">dei tributi a base immobiliare (IMU e Tasi), eventualmente estesa anche ad altri tributi minori, mentre rischiano di perpetuarsi il </w:t>
      </w:r>
      <w:r>
        <w:rPr>
          <w:rFonts w:ascii="Bookman Old Style" w:hAnsi="Bookman Old Style"/>
          <w:b/>
        </w:rPr>
        <w:t>blocco della manovrabilità delle aliquote dei tributi propri</w:t>
      </w:r>
      <w:r>
        <w:rPr>
          <w:rFonts w:ascii="Bookman Old Style" w:hAnsi="Bookman Old Style"/>
        </w:rPr>
        <w:t xml:space="preserve"> e la trasformazione in </w:t>
      </w:r>
      <w:r w:rsidRPr="00A843A5">
        <w:rPr>
          <w:rFonts w:ascii="Bookman Old Style" w:hAnsi="Bookman Old Style"/>
          <w:b/>
        </w:rPr>
        <w:t>trasferimenti statali compensativi dei gettiti aboliti</w:t>
      </w:r>
      <w:r>
        <w:rPr>
          <w:rFonts w:ascii="Bookman Old Style" w:hAnsi="Bookman Old Style"/>
        </w:rPr>
        <w:t xml:space="preserve"> per oltre 4,5 miliardi di euro, tutti elementi che contribuiscono ad un ulteriore irrigidimento della gestione finanziaria, compromettendo i principi di autonomia e responsabilità che erano alla base della legge delega sul federalismo fiscale (L. 42/2009). </w:t>
      </w:r>
    </w:p>
    <w:p w:rsidR="00A37662" w:rsidRPr="00BE1F8D" w:rsidRDefault="00A37662" w:rsidP="00A37662">
      <w:pPr>
        <w:spacing w:after="120" w:line="259" w:lineRule="auto"/>
        <w:jc w:val="both"/>
        <w:rPr>
          <w:rFonts w:ascii="Bookman Old Style" w:hAnsi="Bookman Old Style"/>
        </w:rPr>
      </w:pPr>
      <w:r w:rsidRPr="00BE1F8D">
        <w:rPr>
          <w:rFonts w:ascii="Bookman Old Style" w:hAnsi="Bookman Old Style"/>
        </w:rPr>
        <w:t xml:space="preserve">Deve essere sottolineata </w:t>
      </w:r>
      <w:r w:rsidRPr="00BE1F8D">
        <w:rPr>
          <w:rFonts w:ascii="Bookman Old Style" w:hAnsi="Bookman Old Style"/>
          <w:b/>
        </w:rPr>
        <w:t>l’oggettiva contraddizione tra l’ampliamento della perequazione e qualsiasi ipotesi di mantenimento del blocco della leva fiscale</w:t>
      </w:r>
      <w:r w:rsidRPr="00BE1F8D">
        <w:rPr>
          <w:rFonts w:ascii="Bookman Old Style" w:hAnsi="Bookman Old Style"/>
        </w:rPr>
        <w:t>, giunto ormai al secondo anno. Da un lato, infatti, il blocco colpisce in misura più incisiva i Comuni di piccole e medie dimensioni, che hanno negli anni mantenuto livelli di tassazione relativamente meno elevati. Il previsto passaggio della quota di risorse perequata dal 40% del 2017 al 55% nel 2018 costituirebbe un fattore di crisi per molti di questi enti.</w:t>
      </w:r>
    </w:p>
    <w:p w:rsidR="00A37662" w:rsidRDefault="00A37662" w:rsidP="00A37662">
      <w:pPr>
        <w:spacing w:after="120" w:line="259" w:lineRule="auto"/>
        <w:jc w:val="both"/>
        <w:rPr>
          <w:rFonts w:ascii="Bookman Old Style" w:hAnsi="Bookman Old Style"/>
        </w:rPr>
      </w:pPr>
      <w:r w:rsidRPr="00BE1F8D">
        <w:rPr>
          <w:rFonts w:ascii="Bookman Old Style" w:hAnsi="Bookman Old Style"/>
        </w:rPr>
        <w:lastRenderedPageBreak/>
        <w:t xml:space="preserve">Appare evidente che in assenza di un più ampio intervento di riordino e di rispristino dell’autonomia tributaria, anche la perequazione debba segnare una pausa </w:t>
      </w:r>
      <w:r w:rsidR="00706603" w:rsidRPr="00BE1F8D">
        <w:rPr>
          <w:rFonts w:ascii="Bookman Old Style" w:hAnsi="Bookman Old Style"/>
        </w:rPr>
        <w:t>fino alla definizione di un nuovo quadro</w:t>
      </w:r>
      <w:r w:rsidR="00BE1F8D" w:rsidRPr="00BE1F8D">
        <w:rPr>
          <w:rFonts w:ascii="Bookman Old Style" w:hAnsi="Bookman Old Style"/>
        </w:rPr>
        <w:t>.</w:t>
      </w:r>
    </w:p>
    <w:p w:rsidR="00AC5151" w:rsidRDefault="00826620" w:rsidP="0036040D">
      <w:pPr>
        <w:spacing w:after="120" w:line="259" w:lineRule="auto"/>
        <w:jc w:val="both"/>
        <w:rPr>
          <w:rFonts w:ascii="Bookman Old Style" w:hAnsi="Bookman Old Style"/>
        </w:rPr>
      </w:pPr>
      <w:r>
        <w:rPr>
          <w:rFonts w:ascii="Bookman Old Style" w:hAnsi="Bookman Old Style"/>
        </w:rPr>
        <w:t xml:space="preserve">La crisi </w:t>
      </w:r>
      <w:r>
        <w:rPr>
          <w:rFonts w:ascii="Bookman Old Style" w:hAnsi="Bookman Old Style"/>
          <w:b/>
        </w:rPr>
        <w:t>ha inoltre svelato inedite criticità</w:t>
      </w:r>
      <w:r>
        <w:rPr>
          <w:rFonts w:ascii="Bookman Old Style" w:hAnsi="Bookman Old Style"/>
        </w:rPr>
        <w:t xml:space="preserve"> che </w:t>
      </w:r>
      <w:r w:rsidR="00BF35ED">
        <w:rPr>
          <w:rFonts w:ascii="Bookman Old Style" w:hAnsi="Bookman Old Style"/>
        </w:rPr>
        <w:t xml:space="preserve">accentuano il </w:t>
      </w:r>
      <w:r>
        <w:rPr>
          <w:rFonts w:ascii="Bookman Old Style" w:hAnsi="Bookman Old Style"/>
        </w:rPr>
        <w:t>quadro di estrema rigidità dei bilanci comunali</w:t>
      </w:r>
      <w:r w:rsidR="00BF35ED">
        <w:rPr>
          <w:rFonts w:ascii="Bookman Old Style" w:hAnsi="Bookman Old Style"/>
        </w:rPr>
        <w:t>,</w:t>
      </w:r>
      <w:r>
        <w:rPr>
          <w:rFonts w:ascii="Bookman Old Style" w:hAnsi="Bookman Old Style"/>
        </w:rPr>
        <w:t xml:space="preserve"> che ostacola la ripresa degli investimenti in un quadro di regole oggi invece decisamente </w:t>
      </w:r>
      <w:r w:rsidR="00B72859">
        <w:rPr>
          <w:rFonts w:ascii="Bookman Old Style" w:hAnsi="Bookman Old Style"/>
        </w:rPr>
        <w:t xml:space="preserve">più </w:t>
      </w:r>
      <w:r>
        <w:rPr>
          <w:rFonts w:ascii="Bookman Old Style" w:hAnsi="Bookman Old Style"/>
        </w:rPr>
        <w:t xml:space="preserve">favorevole. Basti pensare al </w:t>
      </w:r>
      <w:r>
        <w:rPr>
          <w:rFonts w:ascii="Bookman Old Style" w:hAnsi="Bookman Old Style"/>
          <w:b/>
        </w:rPr>
        <w:t xml:space="preserve">peso che il debito continua a rappresentare sul complesso delle spese comunali, </w:t>
      </w:r>
      <w:r>
        <w:rPr>
          <w:rFonts w:ascii="Bookman Old Style" w:hAnsi="Bookman Old Style"/>
        </w:rPr>
        <w:t>nonostante la progressiva riduzione dello stock complessivo</w:t>
      </w:r>
      <w:r>
        <w:rPr>
          <w:rFonts w:ascii="Bookman Old Style" w:hAnsi="Bookman Old Style"/>
          <w:b/>
        </w:rPr>
        <w:t>.</w:t>
      </w:r>
    </w:p>
    <w:p w:rsidR="00AC5151" w:rsidRDefault="00826620" w:rsidP="0036040D">
      <w:pPr>
        <w:shd w:val="clear" w:color="auto" w:fill="FFFFFF"/>
        <w:spacing w:after="120" w:line="259" w:lineRule="auto"/>
        <w:jc w:val="both"/>
        <w:rPr>
          <w:rFonts w:ascii="Bookman Old Style" w:hAnsi="Bookman Old Style"/>
        </w:rPr>
      </w:pPr>
      <w:r>
        <w:rPr>
          <w:rFonts w:ascii="Bookman Old Style" w:hAnsi="Bookman Old Style"/>
        </w:rPr>
        <w:t xml:space="preserve">Se l’obiettivo di </w:t>
      </w:r>
      <w:r>
        <w:rPr>
          <w:rFonts w:ascii="Bookman Old Style" w:hAnsi="Bookman Old Style"/>
          <w:b/>
        </w:rPr>
        <w:t>contenere l’indebitamento delle amministrazioni pubbliche</w:t>
      </w:r>
      <w:r>
        <w:rPr>
          <w:rFonts w:ascii="Bookman Old Style" w:hAnsi="Bookman Old Style"/>
        </w:rPr>
        <w:t xml:space="preserve"> deve essere perseguito con tenacia, deve tuttavia tenere conto </w:t>
      </w:r>
      <w:r w:rsidR="00B72859">
        <w:rPr>
          <w:rFonts w:ascii="Bookman Old Style" w:hAnsi="Bookman Old Style"/>
        </w:rPr>
        <w:t xml:space="preserve">che il </w:t>
      </w:r>
      <w:r>
        <w:rPr>
          <w:rFonts w:ascii="Bookman Old Style" w:hAnsi="Bookman Old Style"/>
        </w:rPr>
        <w:t xml:space="preserve">debito comunale </w:t>
      </w:r>
      <w:r w:rsidR="00B72859">
        <w:rPr>
          <w:rFonts w:ascii="Bookman Old Style" w:hAnsi="Bookman Old Style"/>
        </w:rPr>
        <w:t xml:space="preserve">(meno del 2% </w:t>
      </w:r>
      <w:r>
        <w:rPr>
          <w:rFonts w:ascii="Bookman Old Style" w:hAnsi="Bookman Old Style"/>
        </w:rPr>
        <w:t>rispetto a quello dell’intera PA</w:t>
      </w:r>
      <w:r w:rsidR="00B72859">
        <w:rPr>
          <w:rFonts w:ascii="Bookman Old Style" w:hAnsi="Bookman Old Style"/>
        </w:rPr>
        <w:t>)</w:t>
      </w:r>
      <w:r>
        <w:rPr>
          <w:rFonts w:ascii="Bookman Old Style" w:hAnsi="Bookman Old Style"/>
        </w:rPr>
        <w:t xml:space="preserve"> produce sui bilanci comunali</w:t>
      </w:r>
      <w:r w:rsidR="00B72859">
        <w:rPr>
          <w:rFonts w:ascii="Bookman Old Style" w:hAnsi="Bookman Old Style"/>
        </w:rPr>
        <w:t xml:space="preserve"> effetti molto consistenti</w:t>
      </w:r>
      <w:r>
        <w:rPr>
          <w:rFonts w:ascii="Bookman Old Style" w:hAnsi="Bookman Old Style"/>
        </w:rPr>
        <w:t>. L’incidenza media del debito (restituzioni e interessi) sulle spese correnti comunali è del 12%, con punte</w:t>
      </w:r>
      <w:r w:rsidR="00D870CB">
        <w:rPr>
          <w:rFonts w:ascii="Bookman Old Style" w:hAnsi="Bookman Old Style"/>
        </w:rPr>
        <w:t xml:space="preserve"> che superano il 25%, e risulta</w:t>
      </w:r>
      <w:r>
        <w:rPr>
          <w:rFonts w:ascii="Bookman Old Style" w:hAnsi="Bookman Old Style"/>
        </w:rPr>
        <w:t xml:space="preserve"> particolarmente gravosa per gli enti di minor taglia demografica. I Comuni hanno beneficiato </w:t>
      </w:r>
      <w:r w:rsidR="00B72859">
        <w:rPr>
          <w:rFonts w:ascii="Bookman Old Style" w:hAnsi="Bookman Old Style"/>
        </w:rPr>
        <w:t xml:space="preserve">solo in </w:t>
      </w:r>
      <w:r>
        <w:rPr>
          <w:rFonts w:ascii="Bookman Old Style" w:hAnsi="Bookman Old Style"/>
        </w:rPr>
        <w:t>minima parte dell’attuale lunga fase di bassi tassi interesse e si trovano a sostenere forti oneri di servizio del debito non più coerenti con gli attuali valori di mercato. Il DEF prevede una ulteriore e progressiva riduzione, in valore assoluto, dello stock di debito delle amministrazioni locali</w:t>
      </w:r>
      <w:r w:rsidR="00B72859">
        <w:rPr>
          <w:rFonts w:ascii="Bookman Old Style" w:hAnsi="Bookman Old Style"/>
        </w:rPr>
        <w:t xml:space="preserve"> senza entrare nel merito di strumenti per una sua necessaria ristrutturazione</w:t>
      </w:r>
      <w:r>
        <w:rPr>
          <w:rFonts w:ascii="Bookman Old Style" w:hAnsi="Bookman Old Style"/>
        </w:rPr>
        <w:t>. Su questo tema l’ANCI ha chiesto un confronto di ampio respiro, che tenga conto delle proposte formulate dall’Associazione, al fine di coniugare le esigenze di risanamento con quelle di ristrutturazione del debito comunale.</w:t>
      </w:r>
    </w:p>
    <w:p w:rsidR="00AC5151" w:rsidRDefault="00826620" w:rsidP="0036040D">
      <w:pPr>
        <w:shd w:val="clear" w:color="auto" w:fill="FFFFFF"/>
        <w:spacing w:after="120" w:line="259" w:lineRule="auto"/>
        <w:jc w:val="both"/>
        <w:rPr>
          <w:rFonts w:ascii="Bookman Old Style" w:hAnsi="Bookman Old Style"/>
        </w:rPr>
      </w:pPr>
      <w:r>
        <w:rPr>
          <w:rFonts w:ascii="Bookman Old Style" w:hAnsi="Bookman Old Style"/>
        </w:rPr>
        <w:t xml:space="preserve">Non devono essere altresì sottovalutati gli oneri che la crisi pone a carico dei comuni in via indiretta. Ne sono testimonianza le difficoltà che molti enti riscontrano nell’affidamento del </w:t>
      </w:r>
      <w:r>
        <w:rPr>
          <w:rFonts w:ascii="Bookman Old Style" w:hAnsi="Bookman Old Style"/>
          <w:b/>
        </w:rPr>
        <w:t>servizio di tesoreria</w:t>
      </w:r>
      <w:r>
        <w:rPr>
          <w:rFonts w:ascii="Bookman Old Style" w:hAnsi="Bookman Old Style"/>
        </w:rPr>
        <w:t xml:space="preserve">, manifestatesi con il fenomeno delle c.d. “gare deserte”. </w:t>
      </w:r>
      <w:r w:rsidR="00B72859">
        <w:rPr>
          <w:rFonts w:ascii="Bookman Old Style" w:hAnsi="Bookman Old Style"/>
        </w:rPr>
        <w:t xml:space="preserve">Il tema ha certamente origini </w:t>
      </w:r>
      <w:r>
        <w:rPr>
          <w:rFonts w:ascii="Bookman Old Style" w:hAnsi="Bookman Old Style"/>
        </w:rPr>
        <w:t>multifattoriali</w:t>
      </w:r>
      <w:r w:rsidR="00B72859">
        <w:rPr>
          <w:rFonts w:ascii="Bookman Old Style" w:hAnsi="Bookman Old Style"/>
        </w:rPr>
        <w:t xml:space="preserve">, ma affonda le sue radici nella centralizzazione delle tesorerie e nella sospensione del passaggio alla tesoreria mista decisa nel 2014. È necessario trovare soluzioni con </w:t>
      </w:r>
      <w:r>
        <w:rPr>
          <w:rFonts w:ascii="Bookman Old Style" w:hAnsi="Bookman Old Style"/>
        </w:rPr>
        <w:t xml:space="preserve">l’intervento di tutti gli attori coinvolti, </w:t>
      </w:r>
      <w:r w:rsidR="00B72859">
        <w:rPr>
          <w:rFonts w:ascii="Bookman Old Style" w:hAnsi="Bookman Old Style"/>
        </w:rPr>
        <w:t>per evitare un ulteriore motivo di crisi della gestione finanziaria degli enti locali.</w:t>
      </w:r>
    </w:p>
    <w:p w:rsidR="00AC5151" w:rsidRDefault="00B72859" w:rsidP="0036040D">
      <w:pPr>
        <w:shd w:val="clear" w:color="auto" w:fill="FFFFFF"/>
        <w:spacing w:after="120" w:line="259" w:lineRule="auto"/>
        <w:jc w:val="both"/>
        <w:rPr>
          <w:rFonts w:ascii="Bookman Old Style" w:hAnsi="Bookman Old Style"/>
        </w:rPr>
      </w:pPr>
      <w:r>
        <w:rPr>
          <w:rFonts w:ascii="Bookman Old Style" w:hAnsi="Bookman Old Style"/>
        </w:rPr>
        <w:t xml:space="preserve">Pur in un quadro segnato dalle fragilità sommariamente menzionate, già dal </w:t>
      </w:r>
      <w:r w:rsidR="00826620">
        <w:rPr>
          <w:rFonts w:ascii="Bookman Old Style" w:hAnsi="Bookman Old Style"/>
        </w:rPr>
        <w:t xml:space="preserve">2015 si registrano sensibili segnali di </w:t>
      </w:r>
      <w:r w:rsidR="00826620">
        <w:rPr>
          <w:rFonts w:ascii="Bookman Old Style" w:hAnsi="Bookman Old Style"/>
          <w:b/>
        </w:rPr>
        <w:t>ripresa della spesa locale destinata agli investimenti</w:t>
      </w:r>
      <w:r w:rsidR="00826620">
        <w:rPr>
          <w:rFonts w:ascii="Bookman Old Style" w:hAnsi="Bookman Old Style"/>
        </w:rPr>
        <w:t xml:space="preserve"> che, nell’ottica del percorso delineato dal DEF, può e deve essere ulteriormente sostenuta. In tale prospettiva vanno accolte con favore le misure che favoriscono un più fluido ricorso a</w:t>
      </w:r>
      <w:r w:rsidR="00BA77CA">
        <w:rPr>
          <w:rFonts w:ascii="Bookman Old Style" w:hAnsi="Bookman Old Style"/>
        </w:rPr>
        <w:t xml:space="preserve">gli avanzi di amministrazione, </w:t>
      </w:r>
      <w:r w:rsidR="00826620">
        <w:rPr>
          <w:rFonts w:ascii="Bookman Old Style" w:hAnsi="Bookman Old Style"/>
        </w:rPr>
        <w:t>garantendo significativi spazi di manovra aggiuntivi, in particolare a sostegno di interventi ritenuti di interesse nazionale, quali l’edilizia scolastica e la prevenz</w:t>
      </w:r>
      <w:r>
        <w:rPr>
          <w:rFonts w:ascii="Bookman Old Style" w:hAnsi="Bookman Old Style"/>
        </w:rPr>
        <w:t>ione dei rischi sismici ed idro</w:t>
      </w:r>
      <w:r w:rsidR="00826620">
        <w:rPr>
          <w:rFonts w:ascii="Bookman Old Style" w:hAnsi="Bookman Old Style"/>
        </w:rPr>
        <w:t>geologici</w:t>
      </w:r>
      <w:r>
        <w:rPr>
          <w:rFonts w:ascii="Bookman Old Style" w:hAnsi="Bookman Old Style"/>
        </w:rPr>
        <w:t>,</w:t>
      </w:r>
      <w:r w:rsidR="00826620">
        <w:rPr>
          <w:rFonts w:ascii="Bookman Old Style" w:hAnsi="Bookman Old Style"/>
        </w:rPr>
        <w:t xml:space="preserve"> nonché la messa in sicurezza del territorio. Va altresì nella giusta direzione l’interesse rivolto al rafforzamento della </w:t>
      </w:r>
      <w:r w:rsidR="00826620">
        <w:rPr>
          <w:rFonts w:ascii="Bookman Old Style" w:hAnsi="Bookman Old Style"/>
          <w:b/>
        </w:rPr>
        <w:t>capacità di progettazione</w:t>
      </w:r>
      <w:r w:rsidR="00826620">
        <w:rPr>
          <w:rFonts w:ascii="Bookman Old Style" w:hAnsi="Bookman Old Style"/>
        </w:rPr>
        <w:t xml:space="preserve"> degli enti locali, che dovrebbe essere sostenuta attraverso la costituzione di organismi centrali in grado di assicurare il pieno utilizzo delle risorse, l’applicazione del codice degli appalti </w:t>
      </w:r>
      <w:r>
        <w:rPr>
          <w:rFonts w:ascii="Bookman Old Style" w:hAnsi="Bookman Old Style"/>
        </w:rPr>
        <w:t xml:space="preserve">– sul quale si sta opportunamente intervenendo per assicurare maggior flessibilità alle nuove procedure – </w:t>
      </w:r>
      <w:r w:rsidR="00826620">
        <w:rPr>
          <w:rFonts w:ascii="Bookman Old Style" w:hAnsi="Bookman Old Style"/>
        </w:rPr>
        <w:t>e gli str</w:t>
      </w:r>
      <w:r>
        <w:rPr>
          <w:rFonts w:ascii="Bookman Old Style" w:hAnsi="Bookman Old Style"/>
        </w:rPr>
        <w:t>umenti di partenariato pubblico-</w:t>
      </w:r>
      <w:r w:rsidR="00826620">
        <w:rPr>
          <w:rFonts w:ascii="Bookman Old Style" w:hAnsi="Bookman Old Style"/>
        </w:rPr>
        <w:t xml:space="preserve">privato. </w:t>
      </w:r>
    </w:p>
    <w:p w:rsidR="00D40AC3" w:rsidRDefault="00826620" w:rsidP="0036040D">
      <w:pPr>
        <w:spacing w:after="120" w:line="259" w:lineRule="auto"/>
        <w:jc w:val="both"/>
        <w:rPr>
          <w:rFonts w:ascii="Bookman Old Style" w:hAnsi="Bookman Old Style"/>
        </w:rPr>
      </w:pPr>
      <w:r>
        <w:rPr>
          <w:rFonts w:ascii="Bookman Old Style" w:hAnsi="Bookman Old Style"/>
        </w:rPr>
        <w:t xml:space="preserve">Rimangono altresì sfumati i contorni di due importanti esigenze di intervento </w:t>
      </w:r>
      <w:r w:rsidR="00DA0A62">
        <w:rPr>
          <w:rFonts w:ascii="Bookman Old Style" w:hAnsi="Bookman Old Style"/>
        </w:rPr>
        <w:t xml:space="preserve">che sono intimamente legati </w:t>
      </w:r>
      <w:r>
        <w:rPr>
          <w:rFonts w:ascii="Bookman Old Style" w:hAnsi="Bookman Old Style"/>
        </w:rPr>
        <w:t xml:space="preserve">a qualsiasi ipotesi di </w:t>
      </w:r>
      <w:r w:rsidR="00A37662">
        <w:rPr>
          <w:rFonts w:ascii="Bookman Old Style" w:hAnsi="Bookman Old Style"/>
        </w:rPr>
        <w:t xml:space="preserve">riassetto delle risorse </w:t>
      </w:r>
      <w:r>
        <w:rPr>
          <w:rFonts w:ascii="Bookman Old Style" w:hAnsi="Bookman Old Style"/>
        </w:rPr>
        <w:t>comunal</w:t>
      </w:r>
      <w:r w:rsidR="00A37662">
        <w:rPr>
          <w:rFonts w:ascii="Bookman Old Style" w:hAnsi="Bookman Old Style"/>
        </w:rPr>
        <w:t>i</w:t>
      </w:r>
      <w:r>
        <w:rPr>
          <w:rFonts w:ascii="Bookman Old Style" w:hAnsi="Bookman Old Style"/>
        </w:rPr>
        <w:t xml:space="preserve">: la revisione </w:t>
      </w:r>
      <w:r>
        <w:rPr>
          <w:rFonts w:ascii="Bookman Old Style" w:hAnsi="Bookman Old Style"/>
        </w:rPr>
        <w:lastRenderedPageBreak/>
        <w:t xml:space="preserve">degli </w:t>
      </w:r>
      <w:r>
        <w:rPr>
          <w:rFonts w:ascii="Bookman Old Style" w:hAnsi="Bookman Old Style"/>
          <w:b/>
        </w:rPr>
        <w:t>estimi</w:t>
      </w:r>
      <w:r>
        <w:rPr>
          <w:rFonts w:ascii="Bookman Old Style" w:hAnsi="Bookman Old Style"/>
        </w:rPr>
        <w:t xml:space="preserve"> </w:t>
      </w:r>
      <w:r>
        <w:rPr>
          <w:rFonts w:ascii="Bookman Old Style" w:hAnsi="Bookman Old Style"/>
          <w:b/>
        </w:rPr>
        <w:t>catastali</w:t>
      </w:r>
      <w:r>
        <w:rPr>
          <w:rFonts w:ascii="Bookman Old Style" w:hAnsi="Bookman Old Style"/>
        </w:rPr>
        <w:t xml:space="preserve"> e la riforma della </w:t>
      </w:r>
      <w:r>
        <w:rPr>
          <w:rFonts w:ascii="Bookman Old Style" w:hAnsi="Bookman Old Style"/>
          <w:b/>
        </w:rPr>
        <w:t>riscossione locale</w:t>
      </w:r>
      <w:r>
        <w:rPr>
          <w:rFonts w:ascii="Bookman Old Style" w:hAnsi="Bookman Old Style"/>
        </w:rPr>
        <w:t xml:space="preserve">. La riforma del catasto rileva sia sotto il profilo dell’equità fiscale sia sul versante della </w:t>
      </w:r>
      <w:r w:rsidR="00DA0A62">
        <w:rPr>
          <w:rFonts w:ascii="Bookman Old Style" w:hAnsi="Bookman Old Style"/>
        </w:rPr>
        <w:t>corretta ripartizione delle risorse tra enti locali delle diverse aree del Paese</w:t>
      </w:r>
      <w:r w:rsidR="00D40AC3">
        <w:rPr>
          <w:rFonts w:ascii="Bookman Old Style" w:hAnsi="Bookman Old Style"/>
        </w:rPr>
        <w:t xml:space="preserve">. La previsione contenuta nel DEF </w:t>
      </w:r>
      <w:r w:rsidR="007D189D">
        <w:rPr>
          <w:rFonts w:ascii="Bookman Old Style" w:hAnsi="Bookman Old Style"/>
        </w:rPr>
        <w:t xml:space="preserve">di ulteriori avanzamenti nel completamento </w:t>
      </w:r>
      <w:r w:rsidR="00D40AC3">
        <w:rPr>
          <w:rFonts w:ascii="Bookman Old Style" w:hAnsi="Bookman Old Style"/>
        </w:rPr>
        <w:t>delle basi dati catastali</w:t>
      </w:r>
      <w:r w:rsidR="00B338B5">
        <w:rPr>
          <w:rFonts w:ascii="Bookman Old Style" w:hAnsi="Bookman Old Style"/>
        </w:rPr>
        <w:t xml:space="preserve"> dovrebbe accompagnarsi, ad avviso dell’ANCI, con la ripresa della concertazione delle modalità attuative della riforma del catasto, che può essere progressivamente attuata senza aumenti della pressione fiscale sugli immobili con il coinvolgimento attivo dei Comuni italiani</w:t>
      </w:r>
      <w:r>
        <w:rPr>
          <w:rFonts w:ascii="Bookman Old Style" w:hAnsi="Bookman Old Style"/>
        </w:rPr>
        <w:t xml:space="preserve">. </w:t>
      </w:r>
    </w:p>
    <w:p w:rsidR="003216DD" w:rsidRDefault="00826620" w:rsidP="0036040D">
      <w:pPr>
        <w:spacing w:after="120" w:line="259" w:lineRule="auto"/>
        <w:jc w:val="both"/>
        <w:rPr>
          <w:rFonts w:ascii="Bookman Old Style" w:hAnsi="Bookman Old Style"/>
        </w:rPr>
      </w:pPr>
      <w:r w:rsidRPr="003216DD">
        <w:rPr>
          <w:rFonts w:ascii="Bookman Old Style" w:hAnsi="Bookman Old Style"/>
          <w:b/>
        </w:rPr>
        <w:t xml:space="preserve">Il riassetto della riscossione locale </w:t>
      </w:r>
      <w:r>
        <w:rPr>
          <w:rFonts w:ascii="Bookman Old Style" w:hAnsi="Bookman Old Style"/>
        </w:rPr>
        <w:t xml:space="preserve">ha assunto </w:t>
      </w:r>
      <w:r w:rsidR="007D189D">
        <w:rPr>
          <w:rFonts w:ascii="Bookman Old Style" w:hAnsi="Bookman Old Style"/>
        </w:rPr>
        <w:t xml:space="preserve">maggiore </w:t>
      </w:r>
      <w:r>
        <w:rPr>
          <w:rFonts w:ascii="Bookman Old Style" w:hAnsi="Bookman Old Style"/>
        </w:rPr>
        <w:t xml:space="preserve">rilevanza anche a seguito dell’importanza dell’indicatore della “capacità di riscossione” quale determinante essenziale per gli equilibri di bilancio </w:t>
      </w:r>
      <w:r w:rsidR="003216DD">
        <w:rPr>
          <w:rFonts w:ascii="Bookman Old Style" w:hAnsi="Bookman Old Style"/>
        </w:rPr>
        <w:t>e per il mantenimento delle autonome capacità di spesa dei Comuni a fronte dell’</w:t>
      </w:r>
      <w:r>
        <w:rPr>
          <w:rFonts w:ascii="Bookman Old Style" w:hAnsi="Bookman Old Style"/>
        </w:rPr>
        <w:t>introduzione del Fondo crediti di dubbia esigibilità</w:t>
      </w:r>
      <w:r w:rsidR="003216DD">
        <w:rPr>
          <w:rFonts w:ascii="Bookman Old Style" w:hAnsi="Bookman Old Style"/>
        </w:rPr>
        <w:t xml:space="preserve"> (FCDE)</w:t>
      </w:r>
      <w:r>
        <w:rPr>
          <w:rFonts w:ascii="Bookman Old Style" w:hAnsi="Bookman Old Style"/>
        </w:rPr>
        <w:t xml:space="preserve">. </w:t>
      </w:r>
      <w:r w:rsidR="003216DD">
        <w:rPr>
          <w:rFonts w:ascii="Bookman Old Style" w:hAnsi="Bookman Old Style"/>
        </w:rPr>
        <w:t>La dimensione delle mancate riscossioni produce infatti in modo diretto un accantonamento corrispondente di risorse che impedisce di impegnare spese non sostenute da una prospettiva di sollecita realizzazione delle risorse locali. Va segnalato, come meglio dettagliato in un successivo paragrafo, che il comparto comunale è quello che – per le caratteristiche delle proprie entrate – è più esposto di altri agli effetti del FCDE il cui ammontare per il 2016 ammonta a oltre 3 miliardi di euro.</w:t>
      </w:r>
    </w:p>
    <w:p w:rsidR="00111D96" w:rsidRDefault="00826620" w:rsidP="0036040D">
      <w:pPr>
        <w:spacing w:after="120" w:line="259" w:lineRule="auto"/>
        <w:jc w:val="both"/>
        <w:rPr>
          <w:rFonts w:ascii="Bookman Old Style" w:hAnsi="Bookman Old Style"/>
        </w:rPr>
      </w:pPr>
      <w:r>
        <w:rPr>
          <w:rFonts w:ascii="Bookman Old Style" w:hAnsi="Bookman Old Style"/>
        </w:rPr>
        <w:t xml:space="preserve">Il recente intervento di trasformazione di Equitalia </w:t>
      </w:r>
      <w:r w:rsidR="003216DD">
        <w:rPr>
          <w:rFonts w:ascii="Bookman Old Style" w:hAnsi="Bookman Old Style"/>
        </w:rPr>
        <w:t xml:space="preserve">(dl n. 193 del 2016) </w:t>
      </w:r>
      <w:r>
        <w:rPr>
          <w:rFonts w:ascii="Bookman Old Style" w:hAnsi="Bookman Old Style"/>
        </w:rPr>
        <w:t xml:space="preserve">rappresenta un primo passo verso un assetto auspicabilmente più maturo, ma non risolve le attuali inefficienze che ostacolano il conseguimento degli obiettivi di </w:t>
      </w:r>
      <w:r>
        <w:rPr>
          <w:rFonts w:ascii="Bookman Old Style" w:hAnsi="Bookman Old Style"/>
          <w:i/>
        </w:rPr>
        <w:t>compliance</w:t>
      </w:r>
      <w:r>
        <w:rPr>
          <w:rFonts w:ascii="Bookman Old Style" w:hAnsi="Bookman Old Style"/>
        </w:rPr>
        <w:t xml:space="preserve"> e di semplificazione più volte richiamati nel DEF.  </w:t>
      </w:r>
      <w:r w:rsidR="003216DD" w:rsidRPr="007D189D">
        <w:rPr>
          <w:rFonts w:ascii="Bookman Old Style" w:hAnsi="Bookman Old Style"/>
          <w:b/>
        </w:rPr>
        <w:t>È tuttora necessario attivare misure ordinamentali e di riorganizzazione della riscossione</w:t>
      </w:r>
      <w:r w:rsidR="007D189D" w:rsidRPr="007D189D">
        <w:rPr>
          <w:rFonts w:ascii="Bookman Old Style" w:hAnsi="Bookman Old Style"/>
          <w:b/>
        </w:rPr>
        <w:t xml:space="preserve"> locale</w:t>
      </w:r>
      <w:r w:rsidR="003216DD">
        <w:rPr>
          <w:rFonts w:ascii="Bookman Old Style" w:hAnsi="Bookman Old Style"/>
        </w:rPr>
        <w:t xml:space="preserve">, in grado di delineare un sistema efficiente ed economicamente sostenibile, inquadrando la riscossione coattiva dei crediti tributari e patrimoniali dei Comuni nell’ambito della filiera della riscossione di somme strutturalmente di minore entità unitaria rispetto </w:t>
      </w:r>
      <w:r w:rsidR="00111D96">
        <w:rPr>
          <w:rFonts w:ascii="Bookman Old Style" w:hAnsi="Bookman Old Style"/>
        </w:rPr>
        <w:t>al</w:t>
      </w:r>
      <w:r w:rsidR="003216DD">
        <w:rPr>
          <w:rFonts w:ascii="Bookman Old Style" w:hAnsi="Bookman Old Style"/>
        </w:rPr>
        <w:t>le entrate erariali</w:t>
      </w:r>
      <w:r w:rsidR="00111D96">
        <w:rPr>
          <w:rFonts w:ascii="Bookman Old Style" w:hAnsi="Bookman Old Style"/>
        </w:rPr>
        <w:t xml:space="preserve"> e </w:t>
      </w:r>
      <w:r w:rsidR="007D189D">
        <w:rPr>
          <w:rFonts w:ascii="Bookman Old Style" w:hAnsi="Bookman Old Style"/>
        </w:rPr>
        <w:t xml:space="preserve">nel quadro di più generali obiettivi di </w:t>
      </w:r>
      <w:r w:rsidR="007D189D" w:rsidRPr="007D189D">
        <w:rPr>
          <w:rFonts w:ascii="Bookman Old Style" w:hAnsi="Bookman Old Style"/>
          <w:i/>
        </w:rPr>
        <w:t>compliance</w:t>
      </w:r>
      <w:r w:rsidR="003216DD">
        <w:rPr>
          <w:rFonts w:ascii="Bookman Old Style" w:hAnsi="Bookman Old Style"/>
        </w:rPr>
        <w:t xml:space="preserve"> </w:t>
      </w:r>
      <w:r w:rsidR="007D189D">
        <w:rPr>
          <w:rFonts w:ascii="Bookman Old Style" w:hAnsi="Bookman Old Style"/>
        </w:rPr>
        <w:t>fiscale che devono essere opportunamente declinati anche sul versante delle entrate locali.</w:t>
      </w:r>
    </w:p>
    <w:p w:rsidR="00F620B4" w:rsidRPr="00F620B4" w:rsidRDefault="00F620B4" w:rsidP="003C2A23">
      <w:pPr>
        <w:spacing w:after="120" w:line="259" w:lineRule="auto"/>
        <w:jc w:val="both"/>
        <w:rPr>
          <w:rFonts w:ascii="Bookman Old Style" w:hAnsi="Bookman Old Style"/>
        </w:rPr>
      </w:pPr>
      <w:r w:rsidRPr="00F620B4">
        <w:rPr>
          <w:rFonts w:ascii="Bookman Old Style" w:hAnsi="Bookman Old Style"/>
        </w:rPr>
        <w:t xml:space="preserve">La sofferenza non solo finanziaria in cui versano le </w:t>
      </w:r>
      <w:r w:rsidRPr="00F620B4">
        <w:rPr>
          <w:rFonts w:ascii="Bookman Old Style" w:hAnsi="Bookman Old Style"/>
          <w:b/>
        </w:rPr>
        <w:t>Città metropolitane</w:t>
      </w:r>
      <w:r w:rsidRPr="00F620B4">
        <w:rPr>
          <w:rFonts w:ascii="Bookman Old Style" w:hAnsi="Bookman Old Style"/>
        </w:rPr>
        <w:t xml:space="preserve"> viene delineata in un apposito paragrafo, Preme qui evidenziare che le scel</w:t>
      </w:r>
      <w:r>
        <w:rPr>
          <w:rFonts w:ascii="Bookman Old Style" w:hAnsi="Bookman Old Style"/>
        </w:rPr>
        <w:t>te dei decisori devono al più pr</w:t>
      </w:r>
      <w:r w:rsidRPr="00F620B4">
        <w:rPr>
          <w:rFonts w:ascii="Bookman Old Style" w:hAnsi="Bookman Old Style"/>
        </w:rPr>
        <w:t>esto sciogliere nodi fondamentali di tipo ordinamentale prima ancora che finanziario. Il destino dei nuovi enti deve riflettere il ruolo di motore dell’innovazione e dello sviluppo di aree cruciali per l’intera economia</w:t>
      </w:r>
      <w:r>
        <w:rPr>
          <w:rFonts w:ascii="Bookman Old Style" w:hAnsi="Bookman Old Style"/>
        </w:rPr>
        <w:t xml:space="preserve"> nazionale</w:t>
      </w:r>
      <w:r w:rsidRPr="00F620B4">
        <w:rPr>
          <w:rFonts w:ascii="Bookman Old Style" w:hAnsi="Bookman Old Style"/>
        </w:rPr>
        <w:t xml:space="preserve">, attraverso scelte che definiscano un “nuovo inizio”, facendo tabula rasa dell’attuale intrico di contributi e prelievi eredità della stretta imposta all’intero comparto delle aree vaste, e fissando le funzioni operative e strategiche in modo univoco sulla base di congrue risorse proprie e derivate. </w:t>
      </w:r>
    </w:p>
    <w:p w:rsidR="003C2A23" w:rsidRPr="003C2A23" w:rsidRDefault="003C2A23" w:rsidP="003C2A23">
      <w:pPr>
        <w:spacing w:after="120" w:line="259" w:lineRule="auto"/>
        <w:jc w:val="both"/>
        <w:rPr>
          <w:rFonts w:ascii="Bookman Old Style" w:hAnsi="Bookman Old Style"/>
        </w:rPr>
      </w:pPr>
      <w:r w:rsidRPr="003C2A23">
        <w:rPr>
          <w:rFonts w:ascii="Bookman Old Style" w:hAnsi="Bookman Old Style"/>
        </w:rPr>
        <w:t xml:space="preserve">Per quanto riguarda la le misure a sostegno della </w:t>
      </w:r>
      <w:r w:rsidRPr="003C2A23">
        <w:rPr>
          <w:rFonts w:ascii="Bookman Old Style" w:hAnsi="Bookman Old Style"/>
          <w:b/>
        </w:rPr>
        <w:t>ricostruzione dopo il sisma che ha ripetutamente colpito il Centro Italia</w:t>
      </w:r>
      <w:r w:rsidRPr="003C2A23">
        <w:rPr>
          <w:rFonts w:ascii="Bookman Old Style" w:hAnsi="Bookman Old Style"/>
        </w:rPr>
        <w:t xml:space="preserve">, preme qui segnalare i positivi contenuti di riduzione della imposizione fiscale nelle aree coinvolte dal sisma con l’introduzione di una ZFU Zona Franca Urbana, attesa con il decreto </w:t>
      </w:r>
      <w:r>
        <w:rPr>
          <w:rFonts w:ascii="Bookman Old Style" w:hAnsi="Bookman Old Style"/>
        </w:rPr>
        <w:t>legge di prossima emanazione.</w:t>
      </w:r>
      <w:r w:rsidRPr="003C2A23">
        <w:rPr>
          <w:rFonts w:ascii="Bookman Old Style" w:hAnsi="Bookman Old Style"/>
        </w:rPr>
        <w:t xml:space="preserve"> </w:t>
      </w:r>
      <w:r>
        <w:rPr>
          <w:rFonts w:ascii="Bookman Old Style" w:hAnsi="Bookman Old Style"/>
        </w:rPr>
        <w:t xml:space="preserve">Va sottolineato che questa </w:t>
      </w:r>
      <w:r w:rsidRPr="003C2A23">
        <w:rPr>
          <w:rFonts w:ascii="Bookman Old Style" w:hAnsi="Bookman Old Style"/>
        </w:rPr>
        <w:t>potrebbe</w:t>
      </w:r>
      <w:r>
        <w:rPr>
          <w:rFonts w:ascii="Bookman Old Style" w:hAnsi="Bookman Old Style"/>
        </w:rPr>
        <w:t xml:space="preserve"> rivelarsi elemento propulsivo per </w:t>
      </w:r>
      <w:r w:rsidRPr="003C2A23">
        <w:rPr>
          <w:rFonts w:ascii="Bookman Old Style" w:hAnsi="Bookman Old Style"/>
        </w:rPr>
        <w:t xml:space="preserve">una </w:t>
      </w:r>
      <w:r w:rsidRPr="003C2A23">
        <w:rPr>
          <w:rFonts w:ascii="Bookman Old Style" w:hAnsi="Bookman Old Style"/>
          <w:b/>
          <w:bCs/>
        </w:rPr>
        <w:t>zona economica speciale</w:t>
      </w:r>
      <w:r>
        <w:rPr>
          <w:rFonts w:ascii="Bookman Old Style" w:hAnsi="Bookman Old Style"/>
        </w:rPr>
        <w:t xml:space="preserve"> (ZES / </w:t>
      </w:r>
      <w:r w:rsidRPr="003C2A23">
        <w:rPr>
          <w:rFonts w:ascii="Bookman Old Style" w:hAnsi="Bookman Old Style"/>
        </w:rPr>
        <w:t xml:space="preserve">Special Economic Zone) quale realtà geografica dotata di una legislazione economica differente dalla legislazione </w:t>
      </w:r>
      <w:r>
        <w:rPr>
          <w:rFonts w:ascii="Bookman Old Style" w:hAnsi="Bookman Old Style"/>
        </w:rPr>
        <w:t>generale sulle attività economiche</w:t>
      </w:r>
      <w:r w:rsidRPr="003C2A23">
        <w:rPr>
          <w:rFonts w:ascii="Bookman Old Style" w:hAnsi="Bookman Old Style"/>
        </w:rPr>
        <w:t>. Le zone economiche speciali, volute fortemente dall</w:t>
      </w:r>
      <w:r>
        <w:rPr>
          <w:rFonts w:ascii="Bookman Old Style" w:hAnsi="Bookman Old Style"/>
        </w:rPr>
        <w:t xml:space="preserve">’Unione </w:t>
      </w:r>
      <w:r w:rsidRPr="003C2A23">
        <w:rPr>
          <w:rFonts w:ascii="Bookman Old Style" w:hAnsi="Bookman Old Style"/>
        </w:rPr>
        <w:t xml:space="preserve">Europea, </w:t>
      </w:r>
      <w:r>
        <w:rPr>
          <w:rFonts w:ascii="Bookman Old Style" w:hAnsi="Bookman Old Style"/>
        </w:rPr>
        <w:t xml:space="preserve">sono caratterizzate da </w:t>
      </w:r>
      <w:r w:rsidRPr="003C2A23">
        <w:rPr>
          <w:rFonts w:ascii="Bookman Old Style" w:hAnsi="Bookman Old Style"/>
        </w:rPr>
        <w:t xml:space="preserve">una </w:t>
      </w:r>
      <w:r w:rsidRPr="003C2A23">
        <w:rPr>
          <w:rFonts w:ascii="Bookman Old Style" w:hAnsi="Bookman Old Style"/>
        </w:rPr>
        <w:lastRenderedPageBreak/>
        <w:t>propria legislazione di vantaggio riferita all</w:t>
      </w:r>
      <w:r>
        <w:rPr>
          <w:rFonts w:ascii="Bookman Old Style" w:hAnsi="Bookman Old Style"/>
        </w:rPr>
        <w:t>a</w:t>
      </w:r>
      <w:r w:rsidRPr="003C2A23">
        <w:rPr>
          <w:rFonts w:ascii="Bookman Old Style" w:hAnsi="Bookman Old Style"/>
        </w:rPr>
        <w:t xml:space="preserve"> fiscalità local</w:t>
      </w:r>
      <w:r>
        <w:rPr>
          <w:rFonts w:ascii="Bookman Old Style" w:hAnsi="Bookman Old Style"/>
        </w:rPr>
        <w:t>e</w:t>
      </w:r>
      <w:r w:rsidRPr="003C2A23">
        <w:rPr>
          <w:rFonts w:ascii="Bookman Old Style" w:hAnsi="Bookman Old Style"/>
        </w:rPr>
        <w:t xml:space="preserve">, in modo da attrarre maggiori investimenti stranieri e quindi arginare il fenomeno dello spopolamento e della vivibilità nei territori montani o aree svantaggiate, come le aree fortemente danneggiate </w:t>
      </w:r>
      <w:r>
        <w:rPr>
          <w:rFonts w:ascii="Bookman Old Style" w:hAnsi="Bookman Old Style"/>
        </w:rPr>
        <w:t xml:space="preserve">dagli eventi </w:t>
      </w:r>
      <w:r w:rsidRPr="003C2A23">
        <w:rPr>
          <w:rFonts w:ascii="Bookman Old Style" w:hAnsi="Bookman Old Style"/>
        </w:rPr>
        <w:t>sismic</w:t>
      </w:r>
      <w:r>
        <w:rPr>
          <w:rFonts w:ascii="Bookman Old Style" w:hAnsi="Bookman Old Style"/>
        </w:rPr>
        <w:t xml:space="preserve">i </w:t>
      </w:r>
      <w:r w:rsidRPr="003C2A23">
        <w:rPr>
          <w:rFonts w:ascii="Bookman Old Style" w:hAnsi="Bookman Old Style"/>
        </w:rPr>
        <w:t>nelle regioni Abruzzo, Marche, Lazio e Umbria. Si propone</w:t>
      </w:r>
      <w:r>
        <w:rPr>
          <w:rFonts w:ascii="Bookman Old Style" w:hAnsi="Bookman Old Style"/>
        </w:rPr>
        <w:t>, in particolare,</w:t>
      </w:r>
      <w:r w:rsidRPr="003C2A23">
        <w:rPr>
          <w:rFonts w:ascii="Bookman Old Style" w:hAnsi="Bookman Old Style"/>
          <w:b/>
          <w:i/>
        </w:rPr>
        <w:t xml:space="preserve"> </w:t>
      </w:r>
      <w:r w:rsidRPr="003C2A23">
        <w:rPr>
          <w:rFonts w:ascii="Bookman Old Style" w:hAnsi="Bookman Old Style"/>
        </w:rPr>
        <w:t xml:space="preserve">la realizzazione di una Zona Economica Speciale per attività legate alla promozione della </w:t>
      </w:r>
      <w:r w:rsidRPr="003C2A23">
        <w:rPr>
          <w:rFonts w:ascii="Bookman Old Style" w:hAnsi="Bookman Old Style"/>
          <w:i/>
        </w:rPr>
        <w:t>green economy</w:t>
      </w:r>
      <w:r w:rsidRPr="003C2A23">
        <w:rPr>
          <w:rFonts w:ascii="Bookman Old Style" w:hAnsi="Bookman Old Style"/>
        </w:rPr>
        <w:t xml:space="preserve"> di cui alle legge n. 221/2015.</w:t>
      </w:r>
    </w:p>
    <w:p w:rsidR="00AC5151" w:rsidRDefault="001828CA" w:rsidP="0036040D">
      <w:pPr>
        <w:spacing w:after="120" w:line="259" w:lineRule="auto"/>
        <w:jc w:val="both"/>
        <w:rPr>
          <w:rFonts w:ascii="Bookman Old Style" w:hAnsi="Bookman Old Style"/>
        </w:rPr>
      </w:pPr>
      <w:r>
        <w:rPr>
          <w:rFonts w:ascii="Bookman Old Style" w:hAnsi="Bookman Old Style"/>
        </w:rPr>
        <w:t xml:space="preserve">Il DEF riprende, nell’ambito del Programma nazionale di riforme (PNR) le </w:t>
      </w:r>
      <w:r w:rsidRPr="003C2A23">
        <w:rPr>
          <w:rFonts w:ascii="Bookman Old Style" w:hAnsi="Bookman Old Style"/>
          <w:b/>
        </w:rPr>
        <w:t>esigenze di semplificazione</w:t>
      </w:r>
      <w:r>
        <w:rPr>
          <w:rFonts w:ascii="Bookman Old Style" w:hAnsi="Bookman Old Style"/>
        </w:rPr>
        <w:t xml:space="preserve"> </w:t>
      </w:r>
      <w:r w:rsidR="00B338B5">
        <w:rPr>
          <w:rFonts w:ascii="Bookman Old Style" w:hAnsi="Bookman Old Style"/>
        </w:rPr>
        <w:t>più volte affermate ma non ancora concretizzate in adeguate misure con riferimento ai vincoli normativi ed agli adempimenti contabili cui i Comuni sono sottoposti. L</w:t>
      </w:r>
      <w:r w:rsidR="00826620">
        <w:rPr>
          <w:rFonts w:ascii="Bookman Old Style" w:hAnsi="Bookman Old Style"/>
        </w:rPr>
        <w:t xml:space="preserve">’ANCI ribadisce </w:t>
      </w:r>
      <w:r w:rsidR="00B338B5">
        <w:rPr>
          <w:rFonts w:ascii="Bookman Old Style" w:hAnsi="Bookman Old Style"/>
        </w:rPr>
        <w:t xml:space="preserve">che </w:t>
      </w:r>
      <w:r w:rsidR="00826620">
        <w:rPr>
          <w:rFonts w:ascii="Bookman Old Style" w:hAnsi="Bookman Old Style"/>
        </w:rPr>
        <w:t xml:space="preserve">l'impegno per la </w:t>
      </w:r>
      <w:r w:rsidR="00826620">
        <w:rPr>
          <w:rFonts w:ascii="Bookman Old Style" w:hAnsi="Bookman Old Style"/>
          <w:b/>
        </w:rPr>
        <w:t xml:space="preserve">semplificazione </w:t>
      </w:r>
      <w:r w:rsidR="00826620">
        <w:rPr>
          <w:rFonts w:ascii="Bookman Old Style" w:hAnsi="Bookman Old Style"/>
        </w:rPr>
        <w:t xml:space="preserve">e per </w:t>
      </w:r>
      <w:r w:rsidR="00826620" w:rsidRPr="00B338B5">
        <w:rPr>
          <w:rFonts w:ascii="Bookman Old Style" w:hAnsi="Bookman Old Style"/>
          <w:b/>
        </w:rPr>
        <w:t xml:space="preserve">l'abbattimento delle ridondanze nelle richieste </w:t>
      </w:r>
      <w:r w:rsidR="00B338B5" w:rsidRPr="00B338B5">
        <w:rPr>
          <w:rFonts w:ascii="Bookman Old Style" w:hAnsi="Bookman Old Style"/>
          <w:b/>
        </w:rPr>
        <w:t>di informazioni</w:t>
      </w:r>
      <w:r w:rsidR="00B338B5">
        <w:rPr>
          <w:rFonts w:ascii="Bookman Old Style" w:hAnsi="Bookman Old Style"/>
        </w:rPr>
        <w:t xml:space="preserve"> </w:t>
      </w:r>
      <w:r w:rsidR="00826620">
        <w:rPr>
          <w:rFonts w:ascii="Bookman Old Style" w:hAnsi="Bookman Old Style"/>
        </w:rPr>
        <w:t>provenienti dalle strutture amministrative centrali e da organi di controllo, giurisdizionali e non, costituisc</w:t>
      </w:r>
      <w:r w:rsidR="00B338B5">
        <w:rPr>
          <w:rFonts w:ascii="Bookman Old Style" w:hAnsi="Bookman Old Style"/>
        </w:rPr>
        <w:t xml:space="preserve">e </w:t>
      </w:r>
      <w:r w:rsidR="00826620">
        <w:rPr>
          <w:rFonts w:ascii="Bookman Old Style" w:hAnsi="Bookman Old Style"/>
        </w:rPr>
        <w:t xml:space="preserve">un interesse di primaria importanza per gli enti locali. </w:t>
      </w:r>
      <w:r w:rsidR="00826620" w:rsidRPr="00B338B5">
        <w:rPr>
          <w:rFonts w:ascii="Bookman Old Style" w:hAnsi="Bookman Old Style"/>
          <w:b/>
        </w:rPr>
        <w:t>La semplificazione è un fattore di sostenibilità economico-organizzativa</w:t>
      </w:r>
      <w:r w:rsidR="00826620">
        <w:rPr>
          <w:rFonts w:ascii="Bookman Old Style" w:hAnsi="Bookman Old Style"/>
        </w:rPr>
        <w:t xml:space="preserve"> nella gestione dei Comuni, già fortemente gravati da rilevanti tagli degli ultimi anni e da carenza di ricambio generazionale, criticità queste sempre più diffuse e che risultano ulteriormente accentuate per i Comuni di piccole dimensioni, che rappresentano oltre il 70% del comparto. Il tema, </w:t>
      </w:r>
      <w:r w:rsidR="003D3F94">
        <w:rPr>
          <w:rFonts w:ascii="Bookman Old Style" w:hAnsi="Bookman Old Style"/>
        </w:rPr>
        <w:t xml:space="preserve">che pure ha </w:t>
      </w:r>
      <w:r w:rsidR="00826620">
        <w:rPr>
          <w:rFonts w:ascii="Bookman Old Style" w:hAnsi="Bookman Old Style"/>
        </w:rPr>
        <w:t>registrato ampia convergenza sugli obiettivi, n</w:t>
      </w:r>
      <w:r w:rsidR="00826620">
        <w:rPr>
          <w:rFonts w:ascii="Bookman Old Style" w:hAnsi="Bookman Old Style"/>
          <w:bCs/>
        </w:rPr>
        <w:t xml:space="preserve">on ha ancora prodotto </w:t>
      </w:r>
      <w:r w:rsidR="00826620">
        <w:rPr>
          <w:rFonts w:ascii="Bookman Old Style" w:hAnsi="Bookman Old Style"/>
        </w:rPr>
        <w:t xml:space="preserve">uno sbocco normativo all’altezza delle attese. </w:t>
      </w:r>
      <w:r w:rsidR="00B338B5" w:rsidRPr="00D87444">
        <w:rPr>
          <w:rFonts w:ascii="Bookman Old Style" w:hAnsi="Bookman Old Style"/>
        </w:rPr>
        <w:t>In questo senso, ANCI ritiene che occorra definire</w:t>
      </w:r>
      <w:r w:rsidR="00B338B5">
        <w:rPr>
          <w:rFonts w:ascii="Bookman Old Style" w:hAnsi="Bookman Old Style"/>
        </w:rPr>
        <w:t xml:space="preserve"> in occasione della Legge di bilancio 2018 un intervento organico sul </w:t>
      </w:r>
      <w:r w:rsidR="00B338B5" w:rsidRPr="00D87444">
        <w:rPr>
          <w:rFonts w:ascii="Bookman Old Style" w:hAnsi="Bookman Old Style"/>
        </w:rPr>
        <w:t>sistema di regolazione degli enti locali</w:t>
      </w:r>
      <w:r w:rsidR="00B338B5">
        <w:rPr>
          <w:rFonts w:ascii="Bookman Old Style" w:hAnsi="Bookman Old Style"/>
        </w:rPr>
        <w:t xml:space="preserve">, basato su </w:t>
      </w:r>
      <w:r w:rsidR="00B338B5" w:rsidRPr="00D87444">
        <w:rPr>
          <w:rFonts w:ascii="Bookman Old Style" w:hAnsi="Bookman Old Style"/>
        </w:rPr>
        <w:t xml:space="preserve">principi di semplificazione, responsabilità ed autonomia finanziaria e organizzativa </w:t>
      </w:r>
      <w:r w:rsidR="00B338B5">
        <w:rPr>
          <w:rFonts w:ascii="Bookman Old Style" w:hAnsi="Bookman Old Style"/>
        </w:rPr>
        <w:t>e sull’abbattimento de</w:t>
      </w:r>
      <w:r w:rsidR="00B338B5" w:rsidRPr="00D87444">
        <w:rPr>
          <w:rFonts w:ascii="Bookman Old Style" w:hAnsi="Bookman Old Style"/>
        </w:rPr>
        <w:t xml:space="preserve">i vincoli burocratici che tuttora gravano sul settore.  </w:t>
      </w:r>
    </w:p>
    <w:p w:rsidR="001828CA" w:rsidRDefault="00D40AC3" w:rsidP="0036040D">
      <w:pPr>
        <w:spacing w:after="120" w:line="259" w:lineRule="auto"/>
        <w:jc w:val="both"/>
        <w:rPr>
          <w:rFonts w:ascii="Bookman Old Style" w:hAnsi="Bookman Old Style"/>
        </w:rPr>
      </w:pPr>
      <w:r w:rsidRPr="00D87444">
        <w:rPr>
          <w:rFonts w:ascii="Bookman Old Style" w:hAnsi="Bookman Old Style"/>
        </w:rPr>
        <w:t xml:space="preserve">L’introduzione nel 2016 della </w:t>
      </w:r>
      <w:r w:rsidRPr="00D87444">
        <w:rPr>
          <w:rFonts w:ascii="Bookman Old Style" w:hAnsi="Bookman Old Style"/>
          <w:b/>
        </w:rPr>
        <w:t>Banca Dati delle Amministrazioni Pubbliche (BDAP)</w:t>
      </w:r>
      <w:r w:rsidRPr="00D87444">
        <w:rPr>
          <w:rFonts w:ascii="Bookman Old Style" w:hAnsi="Bookman Old Style"/>
        </w:rPr>
        <w:t xml:space="preserve"> può rappresentare lo strumento per la rapida e fattiva riduzione delle richieste di informazioni contabili, al quale tutti i soggetti istituzionali possono fare riferimento e sul quale incardinare in modo prudente e adeguatamente ponderato ogni ulteriore richiesta informativa. Infatti, tale nuovo strumento, nato con l’obiettivo dichiarato di rispondere all’esigenza di ridurre gli adempimenti a carico degli enti (che sono tenuti a trasmettere gli schemi di bilancio ed i dati contabili analitici, comprensivi del piano degli indicatori e dei risultati attesi di bilancio di previsione, rendicontazione e consolidamento), assolvendo nel contempo all’obbligo di trasmissione dei rendiconti alla Corte dei conti, risponde sicuramente alla necessità avvertita dal comparto dei Comuni. </w:t>
      </w:r>
    </w:p>
    <w:p w:rsidR="00D40AC3" w:rsidRDefault="00D40AC3" w:rsidP="0036040D">
      <w:pPr>
        <w:spacing w:after="120" w:line="259" w:lineRule="auto"/>
        <w:jc w:val="both"/>
        <w:rPr>
          <w:rFonts w:ascii="Bookman Old Style" w:hAnsi="Bookman Old Style"/>
        </w:rPr>
      </w:pPr>
      <w:r w:rsidRPr="00D87444">
        <w:rPr>
          <w:rFonts w:ascii="Bookman Old Style" w:hAnsi="Bookman Old Style"/>
        </w:rPr>
        <w:t xml:space="preserve">Preme a tal fine osservare come </w:t>
      </w:r>
      <w:r w:rsidRPr="007D189D">
        <w:rPr>
          <w:rFonts w:ascii="Bookman Old Style" w:hAnsi="Bookman Old Style"/>
          <w:b/>
        </w:rPr>
        <w:t xml:space="preserve">l’invio del bilancio </w:t>
      </w:r>
      <w:r w:rsidR="007D189D" w:rsidRPr="007D189D">
        <w:rPr>
          <w:rFonts w:ascii="Bookman Old Style" w:hAnsi="Bookman Old Style"/>
          <w:b/>
        </w:rPr>
        <w:t xml:space="preserve">di previsione </w:t>
      </w:r>
      <w:r w:rsidRPr="007D189D">
        <w:rPr>
          <w:rFonts w:ascii="Bookman Old Style" w:hAnsi="Bookman Old Style"/>
          <w:b/>
        </w:rPr>
        <w:t>2016-2018</w:t>
      </w:r>
      <w:r w:rsidRPr="00D87444">
        <w:rPr>
          <w:rFonts w:ascii="Bookman Old Style" w:hAnsi="Bookman Old Style"/>
        </w:rPr>
        <w:t xml:space="preserve">, pur non essendo sanzionato, abbia registrato </w:t>
      </w:r>
      <w:r w:rsidRPr="007D189D">
        <w:rPr>
          <w:rFonts w:ascii="Bookman Old Style" w:hAnsi="Bookman Old Style"/>
          <w:b/>
        </w:rPr>
        <w:t>la più elevata percentuale di adempimento da</w:t>
      </w:r>
      <w:r w:rsidR="00D73915">
        <w:rPr>
          <w:rFonts w:ascii="Bookman Old Style" w:hAnsi="Bookman Old Style"/>
          <w:b/>
        </w:rPr>
        <w:t xml:space="preserve"> parte del comparto dei Comuni, il 78,32%, </w:t>
      </w:r>
      <w:r w:rsidRPr="00D87444">
        <w:rPr>
          <w:rFonts w:ascii="Bookman Old Style" w:hAnsi="Bookman Old Style"/>
        </w:rPr>
        <w:t>a fronte del 60% rilevato per le Regioni e province autonome e il 73,9% delle province. L’Anci auspica pertanto che la BDAP diventi</w:t>
      </w:r>
      <w:r w:rsidR="007D189D">
        <w:rPr>
          <w:rFonts w:ascii="Bookman Old Style" w:hAnsi="Bookman Old Style"/>
        </w:rPr>
        <w:t xml:space="preserve"> </w:t>
      </w:r>
      <w:r w:rsidR="001828CA">
        <w:rPr>
          <w:rFonts w:ascii="Bookman Old Style" w:hAnsi="Bookman Old Style"/>
        </w:rPr>
        <w:t xml:space="preserve">al più presto </w:t>
      </w:r>
      <w:r w:rsidRPr="00D87444">
        <w:rPr>
          <w:rFonts w:ascii="Bookman Old Style" w:hAnsi="Bookman Old Style"/>
        </w:rPr>
        <w:t xml:space="preserve">l’unico strumento per l’invio di comunicazioni contabili, prevedendo la soppressione di tutti gli ulteriori adempimenti contabili attualmente ancora previsti. </w:t>
      </w:r>
    </w:p>
    <w:p w:rsidR="00BC0B5C" w:rsidRDefault="00BC0B5C" w:rsidP="00BC0B5C">
      <w:pPr>
        <w:shd w:val="clear" w:color="auto" w:fill="FFFFFF"/>
        <w:spacing w:after="120" w:line="259" w:lineRule="auto"/>
        <w:jc w:val="both"/>
        <w:rPr>
          <w:rFonts w:ascii="Bookman Old Style" w:hAnsi="Bookman Old Style"/>
        </w:rPr>
      </w:pPr>
      <w:r>
        <w:rPr>
          <w:rFonts w:ascii="Bookman Old Style" w:hAnsi="Bookman Old Style" w:cs="BookAntiqua-Bold"/>
          <w:bCs/>
        </w:rPr>
        <w:t xml:space="preserve">In materia di gravosità dei nuovi adempimenti, vanno sottolineate le gravi difficoltà che investono gli enti alle prese con l’avvio della </w:t>
      </w:r>
      <w:r>
        <w:rPr>
          <w:rFonts w:ascii="Bookman Old Style" w:hAnsi="Bookman Old Style" w:cs="BookAntiqua-Bold"/>
          <w:b/>
          <w:bCs/>
        </w:rPr>
        <w:t>contabilità economico-patrimoniale</w:t>
      </w:r>
      <w:r>
        <w:rPr>
          <w:rFonts w:ascii="Bookman Old Style" w:hAnsi="Bookman Old Style" w:cs="BookAntiqua-Bold"/>
          <w:bCs/>
        </w:rPr>
        <w:t xml:space="preserve">, che comporta impegni straordinari spesso non assistiti dalla disponibilità di programmi informatici, per i diffusi ritardi nell'adeguamento dei software da parte dei principali fornitori. Pertanto, per assicurare le condizioni per la presentazione degli ulteriori  </w:t>
      </w:r>
      <w:r>
        <w:rPr>
          <w:rFonts w:ascii="Bookman Old Style" w:hAnsi="Bookman Old Style" w:cs="BookAntiqua-Bold"/>
          <w:bCs/>
        </w:rPr>
        <w:lastRenderedPageBreak/>
        <w:t xml:space="preserve">documenti contabili previsti in occasione del rendiconto 2016, </w:t>
      </w:r>
      <w:r w:rsidRPr="00094BE9">
        <w:rPr>
          <w:rFonts w:ascii="Bookman Old Style" w:hAnsi="Bookman Old Style" w:cs="BookAntiqua-Bold"/>
          <w:b/>
          <w:bCs/>
        </w:rPr>
        <w:t xml:space="preserve">Anci ritiene auspicabile un intervento responsabile e tempestivo, </w:t>
      </w:r>
      <w:r w:rsidRPr="00BC0B5C">
        <w:rPr>
          <w:rFonts w:ascii="Bookman Old Style" w:hAnsi="Bookman Old Style" w:cs="BookAntiqua-Bold"/>
          <w:bCs/>
        </w:rPr>
        <w:t>attraverso</w:t>
      </w:r>
      <w:r>
        <w:rPr>
          <w:rFonts w:ascii="Bookman Old Style" w:hAnsi="Bookman Old Style" w:cs="BookAntiqua-Bold"/>
          <w:b/>
          <w:bCs/>
        </w:rPr>
        <w:t xml:space="preserve"> la </w:t>
      </w:r>
      <w:r w:rsidRPr="00094BE9">
        <w:rPr>
          <w:rFonts w:ascii="Bookman Old Style" w:hAnsi="Bookman Old Style" w:cs="BookAntiqua-Bold"/>
          <w:b/>
          <w:bCs/>
        </w:rPr>
        <w:t>proroga</w:t>
      </w:r>
      <w:r>
        <w:rPr>
          <w:rFonts w:ascii="Bookman Old Style" w:hAnsi="Bookman Old Style" w:cs="BookAntiqua-Bold"/>
          <w:b/>
          <w:bCs/>
        </w:rPr>
        <w:t xml:space="preserve"> </w:t>
      </w:r>
      <w:r w:rsidRPr="00094BE9">
        <w:rPr>
          <w:rFonts w:ascii="Bookman Old Style" w:hAnsi="Bookman Old Style" w:cs="BookAntiqua-Bold"/>
          <w:b/>
          <w:bCs/>
        </w:rPr>
        <w:t xml:space="preserve">di un anno </w:t>
      </w:r>
      <w:r>
        <w:rPr>
          <w:rFonts w:ascii="Bookman Old Style" w:hAnsi="Bookman Old Style" w:cs="BookAntiqua-Bold"/>
          <w:b/>
          <w:bCs/>
        </w:rPr>
        <w:t>de</w:t>
      </w:r>
      <w:r w:rsidRPr="00094BE9">
        <w:rPr>
          <w:rFonts w:ascii="Bookman Old Style" w:hAnsi="Bookman Old Style" w:cs="BookAntiqua-Bold"/>
          <w:b/>
          <w:bCs/>
        </w:rPr>
        <w:t>gli obblighi di tenuta della contabilità economico-patrimoniale</w:t>
      </w:r>
      <w:r>
        <w:rPr>
          <w:rFonts w:ascii="Bookman Old Style" w:hAnsi="Bookman Old Style" w:cs="BookAntiqua-Bold"/>
          <w:bCs/>
        </w:rPr>
        <w:t xml:space="preserve"> o – in alternativa, il differimento alla fine di settembre di tali obblighi, in corrispondenza della prima formulazione del bilancio consolidato, di cui la contabilità economico-patrimoniale costituisce necessario presupposto. Si darebbe così modo al sistema locale di provvedere ai nuovi quadri contabili in modo ordinato e consapevole.</w:t>
      </w:r>
    </w:p>
    <w:p w:rsidR="00494DBF" w:rsidRPr="00494DBF" w:rsidRDefault="00494DBF" w:rsidP="00FB1CD2">
      <w:pPr>
        <w:shd w:val="clear" w:color="auto" w:fill="FFFFFF"/>
        <w:spacing w:after="120" w:line="259" w:lineRule="auto"/>
        <w:jc w:val="both"/>
        <w:rPr>
          <w:rFonts w:ascii="Bookman Old Style" w:eastAsia="Times New Roman" w:hAnsi="Bookman Old Style" w:cs="Arial"/>
          <w:lang w:eastAsia="it-IT"/>
        </w:rPr>
      </w:pPr>
      <w:r w:rsidRPr="00FB1CD2">
        <w:rPr>
          <w:rFonts w:ascii="Bookman Old Style" w:eastAsia="Times New Roman" w:hAnsi="Bookman Old Style" w:cs="Arial"/>
          <w:lang w:eastAsia="it-IT"/>
        </w:rPr>
        <w:t xml:space="preserve">Infine, merita un cenno la rilevanza economica di alcuni aspetti riguardanti </w:t>
      </w:r>
      <w:r w:rsidRPr="00FB1CD2">
        <w:rPr>
          <w:rFonts w:ascii="Bookman Old Style" w:eastAsia="Times New Roman" w:hAnsi="Bookman Old Style" w:cs="Arial"/>
          <w:b/>
          <w:lang w:eastAsia="it-IT"/>
        </w:rPr>
        <w:t>il personale degli enti locali</w:t>
      </w:r>
      <w:r w:rsidR="00FB1CD2">
        <w:rPr>
          <w:rFonts w:ascii="Bookman Old Style" w:eastAsia="Times New Roman" w:hAnsi="Bookman Old Style" w:cs="Arial"/>
          <w:lang w:eastAsia="it-IT"/>
        </w:rPr>
        <w:t>,</w:t>
      </w:r>
      <w:r w:rsidRPr="00FB1CD2">
        <w:rPr>
          <w:rFonts w:ascii="Bookman Old Style" w:eastAsia="Times New Roman" w:hAnsi="Bookman Old Style" w:cs="Arial"/>
          <w:lang w:eastAsia="it-IT"/>
        </w:rPr>
        <w:t xml:space="preserve"> su cui ci attendiamo anzitutto una maggior flessibilità di copertura del </w:t>
      </w:r>
      <w:r w:rsidRPr="00FB1CD2">
        <w:rPr>
          <w:rFonts w:ascii="Bookman Old Style" w:eastAsia="Times New Roman" w:hAnsi="Bookman Old Style" w:cs="Arial"/>
          <w:i/>
          <w:lang w:eastAsia="it-IT"/>
        </w:rPr>
        <w:t>turnover</w:t>
      </w:r>
      <w:r w:rsidRPr="00FB1CD2">
        <w:rPr>
          <w:rFonts w:ascii="Bookman Old Style" w:eastAsia="Times New Roman" w:hAnsi="Bookman Old Style" w:cs="Arial"/>
          <w:lang w:eastAsia="it-IT"/>
        </w:rPr>
        <w:t xml:space="preserve"> dopo anni di forte contrazione e di mancato ricambio generazionale. Desta preoccupazione, però, </w:t>
      </w:r>
      <w:r w:rsidRPr="00FB1CD2">
        <w:rPr>
          <w:rFonts w:ascii="Bookman Old Style" w:eastAsia="Times New Roman" w:hAnsi="Bookman Old Style" w:cs="Arial"/>
          <w:b/>
          <w:lang w:eastAsia="it-IT"/>
        </w:rPr>
        <w:t>l</w:t>
      </w:r>
      <w:r w:rsidRPr="00494DBF">
        <w:rPr>
          <w:rFonts w:ascii="Bookman Old Style" w:eastAsia="Times New Roman" w:hAnsi="Bookman Old Style" w:cs="Times New Roman"/>
          <w:b/>
          <w:lang w:eastAsia="it-IT"/>
        </w:rPr>
        <w:t xml:space="preserve">’impatto </w:t>
      </w:r>
      <w:r w:rsidRPr="00FB1CD2">
        <w:rPr>
          <w:rFonts w:ascii="Bookman Old Style" w:eastAsia="Times New Roman" w:hAnsi="Bookman Old Style" w:cs="Times New Roman"/>
          <w:b/>
          <w:lang w:eastAsia="it-IT"/>
        </w:rPr>
        <w:t>economico de</w:t>
      </w:r>
      <w:r w:rsidRPr="00494DBF">
        <w:rPr>
          <w:rFonts w:ascii="Bookman Old Style" w:eastAsia="Times New Roman" w:hAnsi="Bookman Old Style" w:cs="Times New Roman"/>
          <w:b/>
          <w:lang w:eastAsia="it-IT"/>
        </w:rPr>
        <w:t xml:space="preserve">i rinnovi </w:t>
      </w:r>
      <w:r w:rsidRPr="00FB1CD2">
        <w:rPr>
          <w:rFonts w:ascii="Bookman Old Style" w:eastAsia="Times New Roman" w:hAnsi="Bookman Old Style" w:cs="Times New Roman"/>
          <w:b/>
          <w:lang w:eastAsia="it-IT"/>
        </w:rPr>
        <w:t>contrattuali</w:t>
      </w:r>
      <w:r w:rsidRPr="00494DBF">
        <w:rPr>
          <w:rFonts w:ascii="Bookman Old Style" w:eastAsia="Times New Roman" w:hAnsi="Bookman Old Style" w:cs="Times New Roman"/>
          <w:lang w:eastAsia="it-IT"/>
        </w:rPr>
        <w:t xml:space="preserve">, come in parte già definiti dal DPCM </w:t>
      </w:r>
      <w:r w:rsidRPr="00FB1CD2">
        <w:rPr>
          <w:rFonts w:ascii="Bookman Old Style" w:eastAsia="Times New Roman" w:hAnsi="Bookman Old Style" w:cs="Times New Roman"/>
          <w:lang w:eastAsia="it-IT"/>
        </w:rPr>
        <w:t xml:space="preserve">del 27 febbraio scorso, </w:t>
      </w:r>
      <w:r w:rsidRPr="00494DBF">
        <w:rPr>
          <w:rFonts w:ascii="Bookman Old Style" w:eastAsia="Times New Roman" w:hAnsi="Bookman Old Style" w:cs="Times New Roman"/>
          <w:lang w:eastAsia="it-IT"/>
        </w:rPr>
        <w:t xml:space="preserve">a cui si aggiungeranno quelli che dovranno </w:t>
      </w:r>
      <w:r w:rsidRPr="00FB1CD2">
        <w:rPr>
          <w:rFonts w:ascii="Bookman Old Style" w:eastAsia="Times New Roman" w:hAnsi="Bookman Old Style" w:cs="Times New Roman"/>
          <w:lang w:eastAsia="it-IT"/>
        </w:rPr>
        <w:t>essere stanziati in attuazione dell’</w:t>
      </w:r>
      <w:r w:rsidRPr="00494DBF">
        <w:rPr>
          <w:rFonts w:ascii="Bookman Old Style" w:eastAsia="Times New Roman" w:hAnsi="Bookman Old Style" w:cs="Times New Roman"/>
          <w:lang w:eastAsia="it-IT"/>
        </w:rPr>
        <w:t xml:space="preserve">accordo governo-sindacati </w:t>
      </w:r>
      <w:r w:rsidRPr="00FB1CD2">
        <w:rPr>
          <w:rFonts w:ascii="Bookman Old Style" w:eastAsia="Times New Roman" w:hAnsi="Bookman Old Style" w:cs="Times New Roman"/>
          <w:lang w:eastAsia="it-IT"/>
        </w:rPr>
        <w:t xml:space="preserve">del </w:t>
      </w:r>
      <w:r w:rsidRPr="00494DBF">
        <w:rPr>
          <w:rFonts w:ascii="Bookman Old Style" w:eastAsia="Times New Roman" w:hAnsi="Bookman Old Style" w:cs="Times New Roman"/>
          <w:lang w:eastAsia="it-IT"/>
        </w:rPr>
        <w:t>novembre 2016 (gli “ 85 euro medi pro-capite a regime”- seconda tabella del documento</w:t>
      </w:r>
      <w:r w:rsidR="00FB1CD2" w:rsidRPr="00FB1CD2">
        <w:rPr>
          <w:rFonts w:ascii="Bookman Old Style" w:eastAsia="Times New Roman" w:hAnsi="Bookman Old Style" w:cs="Times New Roman"/>
          <w:lang w:eastAsia="it-IT"/>
        </w:rPr>
        <w:t xml:space="preserve">) </w:t>
      </w:r>
      <w:r w:rsidRPr="00494DBF">
        <w:rPr>
          <w:rFonts w:ascii="Bookman Old Style" w:eastAsia="Times New Roman" w:hAnsi="Bookman Old Style" w:cs="Times New Roman"/>
          <w:lang w:eastAsia="it-IT"/>
        </w:rPr>
        <w:t>che viene richiamato nel DEF</w:t>
      </w:r>
      <w:r w:rsidRPr="00FB1CD2">
        <w:rPr>
          <w:rFonts w:ascii="Bookman Old Style" w:eastAsia="Times New Roman" w:hAnsi="Bookman Old Style" w:cs="Times New Roman"/>
          <w:lang w:eastAsia="it-IT"/>
        </w:rPr>
        <w:t xml:space="preserve"> senza alcuna previsione di </w:t>
      </w:r>
      <w:r w:rsidRPr="00494DBF">
        <w:rPr>
          <w:rFonts w:ascii="Bookman Old Style" w:eastAsia="Times New Roman" w:hAnsi="Bookman Old Style" w:cs="Times New Roman"/>
          <w:lang w:eastAsia="it-IT"/>
        </w:rPr>
        <w:t>specifiche risorse aggiuntive.</w:t>
      </w:r>
      <w:r w:rsidRPr="00FB1CD2">
        <w:rPr>
          <w:rFonts w:ascii="Bookman Old Style" w:eastAsia="Times New Roman" w:hAnsi="Bookman Old Style" w:cs="Times New Roman"/>
          <w:lang w:eastAsia="it-IT"/>
        </w:rPr>
        <w:t xml:space="preserve"> Le previsioni di maggior aggravio per i Comuni, che il nuovo DPCM riconosce come aggiuntive rispetto all’indennità di vacanza contrattuale,  sono di seguito riportate:</w:t>
      </w:r>
    </w:p>
    <w:p w:rsidR="00494DBF" w:rsidRPr="00FB1CD2" w:rsidRDefault="00494DBF" w:rsidP="00FB1CD2">
      <w:pPr>
        <w:pStyle w:val="Paragrafoelenco"/>
        <w:numPr>
          <w:ilvl w:val="0"/>
          <w:numId w:val="7"/>
        </w:numPr>
        <w:shd w:val="clear" w:color="auto" w:fill="FFFFFF"/>
        <w:spacing w:after="120" w:line="259" w:lineRule="auto"/>
        <w:contextualSpacing w:val="0"/>
        <w:jc w:val="both"/>
        <w:rPr>
          <w:rFonts w:ascii="Bookman Old Style" w:eastAsia="Times New Roman" w:hAnsi="Bookman Old Style"/>
          <w:sz w:val="22"/>
          <w:szCs w:val="22"/>
          <w:lang w:eastAsia="it-IT"/>
        </w:rPr>
      </w:pPr>
      <w:r w:rsidRPr="00FB1CD2">
        <w:rPr>
          <w:rFonts w:ascii="Bookman Old Style" w:eastAsia="Times New Roman" w:hAnsi="Bookman Old Style"/>
          <w:bCs/>
          <w:sz w:val="22"/>
          <w:szCs w:val="22"/>
          <w:lang w:eastAsia="it-IT"/>
        </w:rPr>
        <w:t>52,1 mln. per il 2016</w:t>
      </w:r>
    </w:p>
    <w:p w:rsidR="00494DBF" w:rsidRPr="00FB1CD2" w:rsidRDefault="00494DBF" w:rsidP="00FB1CD2">
      <w:pPr>
        <w:pStyle w:val="Paragrafoelenco"/>
        <w:numPr>
          <w:ilvl w:val="0"/>
          <w:numId w:val="7"/>
        </w:numPr>
        <w:shd w:val="clear" w:color="auto" w:fill="FFFFFF"/>
        <w:spacing w:after="120" w:line="259" w:lineRule="auto"/>
        <w:contextualSpacing w:val="0"/>
        <w:jc w:val="both"/>
        <w:rPr>
          <w:rFonts w:ascii="Bookman Old Style" w:eastAsia="Times New Roman" w:hAnsi="Bookman Old Style"/>
          <w:sz w:val="22"/>
          <w:szCs w:val="22"/>
          <w:lang w:eastAsia="it-IT"/>
        </w:rPr>
      </w:pPr>
      <w:r w:rsidRPr="00FB1CD2">
        <w:rPr>
          <w:rFonts w:ascii="Bookman Old Style" w:eastAsia="Times New Roman" w:hAnsi="Bookman Old Style"/>
          <w:bCs/>
          <w:sz w:val="22"/>
          <w:szCs w:val="22"/>
          <w:lang w:eastAsia="it-IT"/>
        </w:rPr>
        <w:t>157,9 mln. per il 2017</w:t>
      </w:r>
    </w:p>
    <w:p w:rsidR="00494DBF" w:rsidRPr="00FB1CD2" w:rsidRDefault="00494DBF" w:rsidP="00FB1CD2">
      <w:pPr>
        <w:pStyle w:val="Paragrafoelenco"/>
        <w:numPr>
          <w:ilvl w:val="0"/>
          <w:numId w:val="7"/>
        </w:numPr>
        <w:shd w:val="clear" w:color="auto" w:fill="FFFFFF"/>
        <w:spacing w:after="120" w:line="259" w:lineRule="auto"/>
        <w:contextualSpacing w:val="0"/>
        <w:jc w:val="both"/>
        <w:rPr>
          <w:rFonts w:ascii="Bookman Old Style" w:eastAsia="Times New Roman" w:hAnsi="Bookman Old Style"/>
          <w:sz w:val="22"/>
          <w:szCs w:val="22"/>
          <w:lang w:eastAsia="it-IT"/>
        </w:rPr>
      </w:pPr>
      <w:r w:rsidRPr="00FB1CD2">
        <w:rPr>
          <w:rFonts w:ascii="Bookman Old Style" w:eastAsia="Times New Roman" w:hAnsi="Bookman Old Style"/>
          <w:bCs/>
          <w:sz w:val="22"/>
          <w:szCs w:val="22"/>
          <w:lang w:eastAsia="it-IT"/>
        </w:rPr>
        <w:t>209,9 mln. per il 2018</w:t>
      </w:r>
    </w:p>
    <w:p w:rsidR="00494DBF" w:rsidRPr="00FB1CD2" w:rsidRDefault="00494DBF" w:rsidP="00FB1CD2">
      <w:pPr>
        <w:pStyle w:val="Paragrafoelenco"/>
        <w:numPr>
          <w:ilvl w:val="0"/>
          <w:numId w:val="7"/>
        </w:numPr>
        <w:shd w:val="clear" w:color="auto" w:fill="FFFFFF"/>
        <w:spacing w:after="120" w:line="259" w:lineRule="auto"/>
        <w:contextualSpacing w:val="0"/>
        <w:jc w:val="both"/>
        <w:rPr>
          <w:rFonts w:ascii="Bookman Old Style" w:eastAsia="Times New Roman" w:hAnsi="Bookman Old Style"/>
          <w:sz w:val="22"/>
          <w:szCs w:val="22"/>
          <w:lang w:eastAsia="it-IT"/>
        </w:rPr>
      </w:pPr>
      <w:r w:rsidRPr="00FB1CD2">
        <w:rPr>
          <w:rFonts w:ascii="Bookman Old Style" w:eastAsia="Times New Roman" w:hAnsi="Bookman Old Style"/>
          <w:bCs/>
          <w:sz w:val="22"/>
          <w:szCs w:val="22"/>
          <w:lang w:eastAsia="it-IT"/>
        </w:rPr>
        <w:t>564,3 mln. a regime</w:t>
      </w:r>
    </w:p>
    <w:p w:rsidR="00494DBF" w:rsidRPr="00494DBF" w:rsidRDefault="00FB1CD2" w:rsidP="00FB1CD2">
      <w:pPr>
        <w:shd w:val="clear" w:color="auto" w:fill="FFFFFF"/>
        <w:spacing w:after="120" w:line="259" w:lineRule="auto"/>
        <w:jc w:val="both"/>
        <w:rPr>
          <w:rFonts w:ascii="Bookman Old Style" w:eastAsia="Times New Roman" w:hAnsi="Bookman Old Style" w:cs="Arial"/>
          <w:lang w:eastAsia="it-IT"/>
        </w:rPr>
      </w:pPr>
      <w:r w:rsidRPr="00FB1CD2">
        <w:rPr>
          <w:rFonts w:ascii="Bookman Old Style" w:eastAsia="Times New Roman" w:hAnsi="Bookman Old Style" w:cs="Arial"/>
          <w:b/>
          <w:bCs/>
          <w:lang w:eastAsia="it-IT"/>
        </w:rPr>
        <w:t xml:space="preserve">Per quanto riguarda </w:t>
      </w:r>
      <w:r w:rsidRPr="00FB1CD2">
        <w:rPr>
          <w:rFonts w:ascii="Bookman Old Style" w:eastAsia="Times New Roman" w:hAnsi="Bookman Old Style" w:cs="Times New Roman"/>
          <w:lang w:eastAsia="it-IT"/>
        </w:rPr>
        <w:t>la r</w:t>
      </w:r>
      <w:r w:rsidR="00494DBF" w:rsidRPr="00494DBF">
        <w:rPr>
          <w:rFonts w:ascii="Bookman Old Style" w:eastAsia="Times New Roman" w:hAnsi="Bookman Old Style" w:cs="Times New Roman"/>
          <w:lang w:eastAsia="it-IT"/>
        </w:rPr>
        <w:t xml:space="preserve">iforma lavoro pubblico </w:t>
      </w:r>
      <w:r w:rsidRPr="00FB1CD2">
        <w:rPr>
          <w:rFonts w:ascii="Bookman Old Style" w:eastAsia="Times New Roman" w:hAnsi="Bookman Old Style" w:cs="Times New Roman"/>
          <w:lang w:eastAsia="it-IT"/>
        </w:rPr>
        <w:t xml:space="preserve">preme </w:t>
      </w:r>
      <w:r w:rsidR="00494DBF" w:rsidRPr="00494DBF">
        <w:rPr>
          <w:rFonts w:ascii="Bookman Old Style" w:eastAsia="Times New Roman" w:hAnsi="Bookman Old Style" w:cs="Times New Roman"/>
          <w:lang w:eastAsia="it-IT"/>
        </w:rPr>
        <w:t>ricordare che</w:t>
      </w:r>
      <w:r w:rsidRPr="00FB1CD2">
        <w:rPr>
          <w:rFonts w:ascii="Bookman Old Style" w:eastAsia="Times New Roman" w:hAnsi="Bookman Old Style" w:cs="Times New Roman"/>
          <w:lang w:eastAsia="it-IT"/>
        </w:rPr>
        <w:t xml:space="preserve"> l’</w:t>
      </w:r>
      <w:r w:rsidR="00494DBF" w:rsidRPr="00494DBF">
        <w:rPr>
          <w:rFonts w:ascii="Bookman Old Style" w:eastAsia="Times New Roman" w:hAnsi="Bookman Old Style" w:cs="Times New Roman"/>
          <w:lang w:eastAsia="it-IT"/>
        </w:rPr>
        <w:t>ANCI ha espresso un parere favorevole allo schema di decreto attuativo dell’art. 17 della legge n. 124</w:t>
      </w:r>
      <w:r w:rsidRPr="00FB1CD2">
        <w:rPr>
          <w:rFonts w:ascii="Bookman Old Style" w:eastAsia="Times New Roman" w:hAnsi="Bookman Old Style" w:cs="Times New Roman"/>
          <w:lang w:eastAsia="it-IT"/>
        </w:rPr>
        <w:t xml:space="preserve"> del </w:t>
      </w:r>
      <w:r w:rsidR="00494DBF" w:rsidRPr="00494DBF">
        <w:rPr>
          <w:rFonts w:ascii="Bookman Old Style" w:eastAsia="Times New Roman" w:hAnsi="Bookman Old Style" w:cs="Times New Roman"/>
          <w:lang w:eastAsia="it-IT"/>
        </w:rPr>
        <w:t>2015, relativo alle modifiche al c.d. Testo unico sul pubblico impiego. In particolare si è rilevata l’esigenza di introdurre modifiche più significative alla disciplina del salario accessorio e dei relativi fondi, soprattutto in un’ottica di semp</w:t>
      </w:r>
      <w:r w:rsidRPr="00FB1CD2">
        <w:rPr>
          <w:rFonts w:ascii="Bookman Old Style" w:eastAsia="Times New Roman" w:hAnsi="Bookman Old Style" w:cs="Times New Roman"/>
          <w:lang w:eastAsia="it-IT"/>
        </w:rPr>
        <w:t>lificazione e razionalizzazione</w:t>
      </w:r>
      <w:r w:rsidR="00494DBF" w:rsidRPr="00494DBF">
        <w:rPr>
          <w:rFonts w:ascii="Bookman Old Style" w:eastAsia="Times New Roman" w:hAnsi="Bookman Old Style" w:cs="Times New Roman"/>
          <w:lang w:eastAsia="it-IT"/>
        </w:rPr>
        <w:t>.</w:t>
      </w:r>
    </w:p>
    <w:p w:rsidR="00FB1CD2" w:rsidRDefault="00FB1CD2">
      <w:pPr>
        <w:rPr>
          <w:rFonts w:ascii="Bookman Old Style" w:eastAsia="MS Mincho" w:hAnsi="Bookman Old Style" w:cs="Times New Roman"/>
          <w:b/>
          <w:bCs/>
          <w:color w:val="548DD4" w:themeColor="text2" w:themeTint="99"/>
          <w:kern w:val="1"/>
          <w:sz w:val="24"/>
          <w:szCs w:val="48"/>
          <w:lang w:eastAsia="ar-SA"/>
        </w:rPr>
      </w:pPr>
    </w:p>
    <w:p w:rsidR="00AC5151" w:rsidRPr="002F6518" w:rsidRDefault="00826620" w:rsidP="002F6518">
      <w:pPr>
        <w:pStyle w:val="Titolo1"/>
      </w:pPr>
      <w:bookmarkStart w:id="2" w:name="_Toc480289411"/>
      <w:r w:rsidRPr="002F6518">
        <w:t>Analisi e tendenze della finanza pubblica locale</w:t>
      </w:r>
      <w:bookmarkEnd w:id="2"/>
    </w:p>
    <w:p w:rsidR="003D3F94" w:rsidRDefault="003D3F94" w:rsidP="0036040D">
      <w:pPr>
        <w:spacing w:after="120" w:line="259" w:lineRule="auto"/>
        <w:jc w:val="both"/>
        <w:rPr>
          <w:rFonts w:ascii="Bookman Old Style" w:hAnsi="Bookman Old Style"/>
        </w:rPr>
      </w:pPr>
      <w:r>
        <w:rPr>
          <w:rFonts w:ascii="Bookman Old Style" w:hAnsi="Bookman Old Style"/>
        </w:rPr>
        <w:t xml:space="preserve">Sulla base dei dati di monitoraggio del saldo di competenza è oggi possibile abbozzare un’analisi dell’andamento delle principali grandezze finanziarie che caratterizzano </w:t>
      </w:r>
      <w:r w:rsidR="003D14BA">
        <w:rPr>
          <w:rFonts w:ascii="Bookman Old Style" w:hAnsi="Bookman Old Style"/>
        </w:rPr>
        <w:t xml:space="preserve">i </w:t>
      </w:r>
      <w:r>
        <w:rPr>
          <w:rFonts w:ascii="Bookman Old Style" w:hAnsi="Bookman Old Style"/>
        </w:rPr>
        <w:t xml:space="preserve">risvolti quantitativi di maggior rilievo della riforma contabile: l’incidenza degli accantonamenti al Fondo crediti di dubbia esigibilità e </w:t>
      </w:r>
      <w:r w:rsidR="00B27DDF">
        <w:rPr>
          <w:rFonts w:ascii="Bookman Old Style" w:hAnsi="Bookman Old Style"/>
        </w:rPr>
        <w:t>le tendenze degli investimenti.</w:t>
      </w:r>
      <w:r>
        <w:rPr>
          <w:rFonts w:ascii="Bookman Old Style" w:hAnsi="Bookman Old Style"/>
        </w:rPr>
        <w:t xml:space="preserve"> Come vedremo, le innovazioni nella contabilità rendono necessari adeguamenti nell’approccio ai dati che non sempre sono considerati dai principali commentatori. </w:t>
      </w:r>
    </w:p>
    <w:p w:rsidR="00FB1CD2" w:rsidRDefault="00FB1CD2" w:rsidP="00A77CC1">
      <w:pPr>
        <w:pStyle w:val="Titolo2"/>
      </w:pPr>
    </w:p>
    <w:p w:rsidR="00A77CC1" w:rsidRDefault="00A77CC1" w:rsidP="00A77CC1">
      <w:pPr>
        <w:pStyle w:val="Titolo2"/>
      </w:pPr>
      <w:bookmarkStart w:id="3" w:name="_Toc480289412"/>
      <w:r>
        <w:t>Il peso del Fondo crediti di dubbia esigibilità</w:t>
      </w:r>
      <w:bookmarkEnd w:id="3"/>
    </w:p>
    <w:p w:rsidR="00A77CC1" w:rsidRDefault="003D3F94" w:rsidP="003D3F94">
      <w:pPr>
        <w:spacing w:after="120" w:line="259" w:lineRule="auto"/>
        <w:jc w:val="both"/>
        <w:rPr>
          <w:rFonts w:ascii="Bookman Old Style" w:hAnsi="Bookman Old Style"/>
        </w:rPr>
      </w:pPr>
      <w:r w:rsidRPr="003D3F94">
        <w:rPr>
          <w:rFonts w:ascii="Bookman Old Style" w:hAnsi="Bookman Old Style"/>
        </w:rPr>
        <w:t xml:space="preserve">Uno dei principali esiti della riforma </w:t>
      </w:r>
      <w:r>
        <w:rPr>
          <w:rFonts w:ascii="Bookman Old Style" w:hAnsi="Bookman Old Style"/>
        </w:rPr>
        <w:t xml:space="preserve">contabile è certamente rappresentato dall’obbligo di costituzione di un fondo che sterilizza le quote di entrate accertate di cui non è certa la sollecita riscossione. Questo meccanismo </w:t>
      </w:r>
      <w:r w:rsidR="005A5F65">
        <w:rPr>
          <w:rFonts w:ascii="Bookman Old Style" w:hAnsi="Bookman Old Style"/>
        </w:rPr>
        <w:t xml:space="preserve">abbatte le capacità di spesa degli enti in </w:t>
      </w:r>
      <w:r w:rsidR="005A5F65">
        <w:rPr>
          <w:rFonts w:ascii="Bookman Old Style" w:hAnsi="Bookman Old Style"/>
        </w:rPr>
        <w:lastRenderedPageBreak/>
        <w:t>misura direttamente proporzionale alla percentuale di mancata riscossione delle entrate proprie, calcolata sui dati del quinquennio precedente.</w:t>
      </w:r>
      <w:r>
        <w:rPr>
          <w:rFonts w:ascii="Bookman Old Style" w:hAnsi="Bookman Old Style"/>
        </w:rPr>
        <w:t xml:space="preserve"> </w:t>
      </w:r>
    </w:p>
    <w:p w:rsidR="005A5F65" w:rsidRDefault="005A5F65" w:rsidP="003D3F94">
      <w:pPr>
        <w:spacing w:after="120" w:line="259" w:lineRule="auto"/>
        <w:jc w:val="both"/>
        <w:rPr>
          <w:rFonts w:ascii="Bookman Old Style" w:hAnsi="Bookman Old Style"/>
        </w:rPr>
      </w:pPr>
      <w:r>
        <w:rPr>
          <w:rFonts w:ascii="Bookman Old Style" w:hAnsi="Bookman Old Style"/>
        </w:rPr>
        <w:t>Al fine di evitare un impatto troppo brusco del nuovo fondo, favorendo così la sostenibilità dell’intera riforma della contabilità, la legge di stabilità per il 2015 e successivi provvedimenti hanno permesso un graduale raggiungimento del pieno ammontare dell’accantonamento, sia in previsione che a consuntivo: dal 36% del 2015 (55% per gli enti già sperimentatori della riforma) al 100% nel 2019.</w:t>
      </w:r>
      <w:r w:rsidR="00A843A5">
        <w:rPr>
          <w:rFonts w:ascii="Bookman Old Style" w:hAnsi="Bookman Old Style"/>
        </w:rPr>
        <w:t xml:space="preserve"> L’ammontare complessivo degli accantonamenti (FCDE e altri fondi rischi) è pari a fine 2016 a circa 3,5 miliardi di euro, di cui circa 3 miliardi per il solo FCDE.</w:t>
      </w:r>
    </w:p>
    <w:p w:rsidR="00976921" w:rsidRDefault="00976921" w:rsidP="003D3F94">
      <w:pPr>
        <w:spacing w:after="120" w:line="259" w:lineRule="auto"/>
        <w:jc w:val="both"/>
        <w:rPr>
          <w:rFonts w:ascii="Bookman Old Style" w:hAnsi="Bookman Old Style"/>
        </w:rPr>
      </w:pPr>
      <w:r w:rsidRPr="0034168B">
        <w:rPr>
          <w:rFonts w:ascii="Bookman Old Style" w:hAnsi="Bookman Old Style"/>
        </w:rPr>
        <w:t xml:space="preserve">Va osservato che il disallineamento tra accertamenti e riscossioni è un fenomeno che caratterizza le entrate comunali in modo molto più incisivo rispetto agli altri comparti della Pubblica amministrazione. Il peso del FCDE incide quindi in modo più intenso sui Comuni che sono </w:t>
      </w:r>
      <w:r w:rsidR="00835887" w:rsidRPr="0034168B">
        <w:rPr>
          <w:rFonts w:ascii="Bookman Old Style" w:hAnsi="Bookman Old Style"/>
        </w:rPr>
        <w:t xml:space="preserve">ora </w:t>
      </w:r>
      <w:r w:rsidRPr="0034168B">
        <w:rPr>
          <w:rFonts w:ascii="Bookman Old Style" w:hAnsi="Bookman Old Style"/>
        </w:rPr>
        <w:t>costretti ad un più</w:t>
      </w:r>
      <w:r w:rsidR="00835887" w:rsidRPr="0034168B">
        <w:rPr>
          <w:rFonts w:ascii="Bookman Old Style" w:hAnsi="Bookman Old Style"/>
        </w:rPr>
        <w:t xml:space="preserve"> severo</w:t>
      </w:r>
      <w:r w:rsidRPr="0034168B">
        <w:rPr>
          <w:rFonts w:ascii="Bookman Old Style" w:hAnsi="Bookman Old Style"/>
        </w:rPr>
        <w:t xml:space="preserve"> </w:t>
      </w:r>
      <w:r w:rsidR="00835887" w:rsidRPr="0034168B">
        <w:rPr>
          <w:rFonts w:ascii="Bookman Old Style" w:hAnsi="Bookman Old Style"/>
        </w:rPr>
        <w:t>ridimensionamento dei propri bilanci.</w:t>
      </w:r>
    </w:p>
    <w:p w:rsidR="00C43A37" w:rsidRDefault="0034168B" w:rsidP="003D3F94">
      <w:pPr>
        <w:spacing w:after="120" w:line="259" w:lineRule="auto"/>
        <w:jc w:val="both"/>
        <w:rPr>
          <w:rFonts w:ascii="Bookman Old Style" w:hAnsi="Bookman Old Style"/>
        </w:rPr>
      </w:pPr>
      <w:r w:rsidRPr="0034168B">
        <w:rPr>
          <w:rFonts w:ascii="Bookman Old Style" w:hAnsi="Bookman Old Style"/>
        </w:rPr>
        <w:t>A fronte di una valore medio nazionale procapite di 51 euro, la Toscana</w:t>
      </w:r>
      <w:r>
        <w:rPr>
          <w:rFonts w:ascii="Bookman Old Style" w:hAnsi="Bookman Old Style"/>
        </w:rPr>
        <w:t>, il Lazio</w:t>
      </w:r>
      <w:r w:rsidRPr="0034168B">
        <w:rPr>
          <w:rFonts w:ascii="Bookman Old Style" w:hAnsi="Bookman Old Style"/>
        </w:rPr>
        <w:t xml:space="preserve"> </w:t>
      </w:r>
      <w:r>
        <w:rPr>
          <w:rFonts w:ascii="Bookman Old Style" w:hAnsi="Bookman Old Style"/>
        </w:rPr>
        <w:t xml:space="preserve">e tre </w:t>
      </w:r>
      <w:r w:rsidRPr="0034168B">
        <w:rPr>
          <w:rFonts w:ascii="Bookman Old Style" w:hAnsi="Bookman Old Style"/>
        </w:rPr>
        <w:t>regioni del Sud-Isole (Campania, Calabria e Sicilia) mostrano valori medi significativamente superiori (tra i 61 e gli 81 euro), mentre i procapite di ciascuna area territoriale sono quasi sempre crescenti al crescere della fascia di popolazione.</w:t>
      </w:r>
    </w:p>
    <w:p w:rsidR="00666126" w:rsidRDefault="00666126" w:rsidP="003D3F94">
      <w:pPr>
        <w:spacing w:after="120" w:line="259" w:lineRule="auto"/>
        <w:jc w:val="both"/>
        <w:rPr>
          <w:rFonts w:ascii="Bookman Old Style" w:hAnsi="Bookman Old Style"/>
        </w:rPr>
      </w:pPr>
    </w:p>
    <w:p w:rsidR="00C43A37" w:rsidRPr="0034168B" w:rsidRDefault="00C43A37" w:rsidP="0034168B">
      <w:pPr>
        <w:keepNext/>
        <w:spacing w:after="120" w:line="259" w:lineRule="auto"/>
        <w:ind w:left="-426"/>
        <w:jc w:val="both"/>
        <w:rPr>
          <w:rFonts w:ascii="Arial Narrow" w:hAnsi="Arial Narrow"/>
          <w:b/>
        </w:rPr>
      </w:pPr>
      <w:r w:rsidRPr="0034168B">
        <w:rPr>
          <w:rFonts w:ascii="Arial Narrow" w:hAnsi="Arial Narrow"/>
          <w:b/>
        </w:rPr>
        <w:t>FCDE 2016. Tabella di riepilogo per fascia demografica, regione. Valori assoluti (mln. €</w:t>
      </w:r>
      <w:r w:rsidR="0034168B">
        <w:rPr>
          <w:rFonts w:ascii="Arial Narrow" w:hAnsi="Arial Narrow"/>
          <w:b/>
        </w:rPr>
        <w:t>)</w:t>
      </w:r>
      <w:r w:rsidRPr="0034168B">
        <w:rPr>
          <w:rFonts w:ascii="Arial Narrow" w:hAnsi="Arial Narrow"/>
          <w:b/>
        </w:rPr>
        <w:t xml:space="preserve"> e procapite (</w:t>
      </w:r>
      <w:r w:rsidR="0034168B" w:rsidRPr="0034168B">
        <w:rPr>
          <w:rFonts w:ascii="Arial Narrow" w:hAnsi="Arial Narrow"/>
          <w:b/>
        </w:rPr>
        <w:t>€)</w:t>
      </w:r>
    </w:p>
    <w:p w:rsidR="00C43A37" w:rsidRDefault="00C43A37" w:rsidP="00C43A37">
      <w:pPr>
        <w:spacing w:after="120" w:line="259" w:lineRule="auto"/>
        <w:ind w:left="-426"/>
        <w:jc w:val="both"/>
        <w:rPr>
          <w:rFonts w:ascii="Bookman Old Style" w:hAnsi="Bookman Old Style"/>
        </w:rPr>
      </w:pPr>
      <w:r w:rsidRPr="00C43A37">
        <w:rPr>
          <w:noProof/>
          <w:lang w:eastAsia="it-IT"/>
        </w:rPr>
        <w:drawing>
          <wp:inline distT="0" distB="0" distL="0" distR="0">
            <wp:extent cx="6732000" cy="3504315"/>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2000" cy="3504315"/>
                    </a:xfrm>
                    <a:prstGeom prst="rect">
                      <a:avLst/>
                    </a:prstGeom>
                    <a:noFill/>
                    <a:ln>
                      <a:noFill/>
                    </a:ln>
                  </pic:spPr>
                </pic:pic>
              </a:graphicData>
            </a:graphic>
          </wp:inline>
        </w:drawing>
      </w:r>
    </w:p>
    <w:p w:rsidR="005E43B2" w:rsidRDefault="005E43B2" w:rsidP="003D3F94">
      <w:pPr>
        <w:spacing w:after="120" w:line="259" w:lineRule="auto"/>
        <w:jc w:val="both"/>
        <w:rPr>
          <w:rFonts w:ascii="Bookman Old Style" w:hAnsi="Bookman Old Style"/>
        </w:rPr>
      </w:pPr>
    </w:p>
    <w:p w:rsidR="009B052B" w:rsidRDefault="009B052B" w:rsidP="005E43B2">
      <w:pPr>
        <w:spacing w:after="120" w:line="259" w:lineRule="auto"/>
        <w:jc w:val="both"/>
        <w:rPr>
          <w:rFonts w:ascii="Bookman Old Style" w:hAnsi="Bookman Old Style"/>
        </w:rPr>
      </w:pPr>
    </w:p>
    <w:p w:rsidR="005E43B2" w:rsidRDefault="005E43B2" w:rsidP="005E43B2">
      <w:pPr>
        <w:spacing w:after="120" w:line="259" w:lineRule="auto"/>
        <w:jc w:val="both"/>
        <w:rPr>
          <w:rFonts w:ascii="Bookman Old Style" w:hAnsi="Bookman Old Style"/>
        </w:rPr>
      </w:pPr>
      <w:r>
        <w:rPr>
          <w:rFonts w:ascii="Bookman Old Style" w:hAnsi="Bookman Old Style"/>
        </w:rPr>
        <w:lastRenderedPageBreak/>
        <w:t>L’analisi dell’accantonamento a FCDE riportato nel monitoraggio del saldo di competenza 2016 mostra una distribuzione molto difforme. Un numero relativame</w:t>
      </w:r>
      <w:r w:rsidR="00FB1CD2">
        <w:rPr>
          <w:rFonts w:ascii="Bookman Old Style" w:hAnsi="Bookman Old Style"/>
        </w:rPr>
        <w:t>nte ristretto di enti (circa 1.3</w:t>
      </w:r>
      <w:r>
        <w:rPr>
          <w:rFonts w:ascii="Bookman Old Style" w:hAnsi="Bookman Old Style"/>
        </w:rPr>
        <w:t xml:space="preserve">00), concentrati tra le città medie e grandi e nel centro-sud del Paese, registra accantonamenti complessivi per oltre i due terzi del totale (2.100mln. di euro). Si tratta di enti mediamente più grandi e mediamente più concentrati nelle aree centro-meridionali. </w:t>
      </w:r>
    </w:p>
    <w:p w:rsidR="00924D34" w:rsidRDefault="0034168B" w:rsidP="003D3F94">
      <w:pPr>
        <w:spacing w:after="120" w:line="259" w:lineRule="auto"/>
        <w:jc w:val="both"/>
        <w:rPr>
          <w:rFonts w:ascii="Bookman Old Style" w:hAnsi="Bookman Old Style"/>
        </w:rPr>
      </w:pPr>
      <w:r>
        <w:rPr>
          <w:rFonts w:ascii="Bookman Old Style" w:hAnsi="Bookman Old Style"/>
        </w:rPr>
        <w:t xml:space="preserve">Distinguendo tra i Comuni sopra e sotto la media di area territoriale, </w:t>
      </w:r>
      <w:r w:rsidR="00924D34">
        <w:rPr>
          <w:rFonts w:ascii="Bookman Old Style" w:hAnsi="Bookman Old Style"/>
        </w:rPr>
        <w:t xml:space="preserve">si evidenzia </w:t>
      </w:r>
      <w:r w:rsidR="005E43B2">
        <w:rPr>
          <w:rFonts w:ascii="Bookman Old Style" w:hAnsi="Bookman Old Style"/>
        </w:rPr>
        <w:t xml:space="preserve">infatti </w:t>
      </w:r>
      <w:r w:rsidR="00924D34">
        <w:rPr>
          <w:rFonts w:ascii="Bookman Old Style" w:hAnsi="Bookman Old Style"/>
        </w:rPr>
        <w:t xml:space="preserve">che il valore procapite medio </w:t>
      </w:r>
      <w:r w:rsidR="00FB1CD2">
        <w:rPr>
          <w:rFonts w:ascii="Bookman Old Style" w:hAnsi="Bookman Old Style"/>
        </w:rPr>
        <w:t>del FCDE dei 13</w:t>
      </w:r>
      <w:r w:rsidR="005E43B2">
        <w:rPr>
          <w:rFonts w:ascii="Bookman Old Style" w:hAnsi="Bookman Old Style"/>
        </w:rPr>
        <w:t>00 enti superior</w:t>
      </w:r>
      <w:r w:rsidR="00C0589B">
        <w:rPr>
          <w:rFonts w:ascii="Bookman Old Style" w:hAnsi="Bookman Old Style"/>
        </w:rPr>
        <w:t>e al valore della rispettiva ri</w:t>
      </w:r>
      <w:r w:rsidR="005E43B2">
        <w:rPr>
          <w:rFonts w:ascii="Bookman Old Style" w:hAnsi="Bookman Old Style"/>
        </w:rPr>
        <w:t xml:space="preserve">partizione territoriale (“sopra media”), </w:t>
      </w:r>
      <w:r w:rsidR="00924D34">
        <w:rPr>
          <w:rFonts w:ascii="Bookman Old Style" w:hAnsi="Bookman Old Style"/>
        </w:rPr>
        <w:t>sale a ben 93 euro con punte di alcune centinaia. Sotto questo profilo, anche regioni come la Liguria, mediamente meno coinv</w:t>
      </w:r>
      <w:r w:rsidR="00FB1CD2">
        <w:rPr>
          <w:rFonts w:ascii="Bookman Old Style" w:hAnsi="Bookman Old Style"/>
        </w:rPr>
        <w:t xml:space="preserve">olte, vedono il 37% dei Comuni </w:t>
      </w:r>
      <w:r w:rsidR="00924D34">
        <w:rPr>
          <w:rFonts w:ascii="Bookman Old Style" w:hAnsi="Bookman Old Style"/>
        </w:rPr>
        <w:t>“sopra media”. Ad eccezione di tre regioni (Umbria, Marche e Basilicata) nelle quali i Comuni con FCDE “sopra media” non supera il 5%, in tutte le altre regioni i Comuni coinvolti sono una significativa minoranza (tra il 12 e il 37%).</w:t>
      </w:r>
      <w:r w:rsidR="003F7F54">
        <w:rPr>
          <w:rFonts w:ascii="Bookman Old Style" w:hAnsi="Bookman Old Style"/>
        </w:rPr>
        <w:t xml:space="preserve"> In quasi tutte le fasce demografiche il valore procapite del FCDE oscilla intorno alla media nazionale di 93 euro, con punte di 103 euro (nella fascia 1000-5000 abitanti degli enti “sopra media”) e il minimo di 75 euro tra gli enti della fascia 100-250mila abitanti.</w:t>
      </w:r>
    </w:p>
    <w:p w:rsidR="00835887" w:rsidRDefault="00924D34" w:rsidP="003D3F94">
      <w:pPr>
        <w:spacing w:after="120" w:line="259" w:lineRule="auto"/>
        <w:jc w:val="both"/>
        <w:rPr>
          <w:rFonts w:ascii="Bookman Old Style" w:hAnsi="Bookman Old Style"/>
        </w:rPr>
      </w:pPr>
      <w:r>
        <w:rPr>
          <w:rFonts w:ascii="Bookman Old Style" w:hAnsi="Bookman Old Style"/>
        </w:rPr>
        <w:t xml:space="preserve">La concentrazione del fenomeno su un numero di enti relativamente ristretto, ma ampiamente distribuito su tutti i territori </w:t>
      </w:r>
      <w:r w:rsidR="003F7F54">
        <w:rPr>
          <w:rFonts w:ascii="Bookman Old Style" w:hAnsi="Bookman Old Style"/>
        </w:rPr>
        <w:t xml:space="preserve">e su tutte le dimensioni </w:t>
      </w:r>
      <w:r>
        <w:rPr>
          <w:rFonts w:ascii="Bookman Old Style" w:hAnsi="Bookman Old Style"/>
        </w:rPr>
        <w:t>deve portare ad una riflessione circa la sostenibilità del percorso di adeguamento al 100% dell’accantonamento attualmente previsto per il 2019.</w:t>
      </w:r>
      <w:r w:rsidR="0034168B">
        <w:rPr>
          <w:rFonts w:ascii="Bookman Old Style" w:hAnsi="Bookman Old Style"/>
        </w:rPr>
        <w:t xml:space="preserve"> </w:t>
      </w:r>
    </w:p>
    <w:p w:rsidR="00835887" w:rsidRPr="003D3F94" w:rsidRDefault="00835887" w:rsidP="003D3F94">
      <w:pPr>
        <w:spacing w:after="120" w:line="259" w:lineRule="auto"/>
        <w:jc w:val="both"/>
        <w:rPr>
          <w:rFonts w:ascii="Bookman Old Style" w:hAnsi="Bookman Old Style"/>
        </w:rPr>
      </w:pPr>
    </w:p>
    <w:p w:rsidR="00A77CC1" w:rsidRDefault="00A77CC1" w:rsidP="00A77CC1">
      <w:pPr>
        <w:pStyle w:val="Titolo2"/>
      </w:pPr>
      <w:bookmarkStart w:id="4" w:name="_Toc480289413"/>
      <w:r>
        <w:t>Un’analisi della ripresa degli investimenti</w:t>
      </w:r>
      <w:r w:rsidR="00826620">
        <w:t xml:space="preserve"> comunali</w:t>
      </w:r>
      <w:bookmarkEnd w:id="4"/>
    </w:p>
    <w:p w:rsidR="00DA2581" w:rsidRPr="0042578D" w:rsidRDefault="00DA2581" w:rsidP="00DA2581">
      <w:pPr>
        <w:tabs>
          <w:tab w:val="left" w:pos="426"/>
        </w:tabs>
        <w:spacing w:after="120" w:line="259" w:lineRule="auto"/>
        <w:jc w:val="both"/>
        <w:rPr>
          <w:rFonts w:ascii="Bookman Old Style" w:hAnsi="Bookman Old Style"/>
        </w:rPr>
      </w:pPr>
      <w:r w:rsidRPr="0042578D">
        <w:rPr>
          <w:rFonts w:ascii="Bookman Old Style" w:hAnsi="Bookman Old Style"/>
        </w:rPr>
        <w:t xml:space="preserve">Negli anni del Patto di stabilità interno si è verificata una pesante contrazione degli investimenti comunali, non solo sul versante della cassa per effetto della cosiddetta “competenza mista”, ma anche sul fronte degli impegni (-23% nel periodo 2010-2014). Se i ritardi nei pagamenti alle aziende costruttrici ha generato gravi criticità economiche sul territorio – rimane celebre lo slogan dell’Ance </w:t>
      </w:r>
      <w:r w:rsidRPr="0042578D">
        <w:rPr>
          <w:rFonts w:ascii="Bookman Old Style" w:hAnsi="Bookman Old Style"/>
          <w:i/>
        </w:rPr>
        <w:t xml:space="preserve">“Prima si moriva per debiti, ora per crediti” </w:t>
      </w:r>
      <w:r w:rsidRPr="0042578D">
        <w:rPr>
          <w:rFonts w:ascii="Bookman Old Style" w:hAnsi="Bookman Old Style"/>
        </w:rPr>
        <w:t>– la flessione degli impegni riflette il principale malessere vissuto in quegli anni da amministratori e operatori locali, vale a dire la rinuncia più o meno forzata alla progettazione di opere pubbliche sul territorio, sia per l’imposizione di vincoli di bilancio sempre più stringenti sia per l’acuirsi delle difficoltà nel programmare sul piano finanziario in un’ottica pluriennale.</w:t>
      </w:r>
    </w:p>
    <w:p w:rsidR="00DA2581" w:rsidRDefault="00DA2581" w:rsidP="00DA2581">
      <w:pPr>
        <w:tabs>
          <w:tab w:val="left" w:pos="426"/>
        </w:tabs>
        <w:spacing w:after="120" w:line="259" w:lineRule="auto"/>
        <w:jc w:val="both"/>
        <w:rPr>
          <w:rFonts w:ascii="Book Antiqua" w:hAnsi="Book Antiqua"/>
        </w:rPr>
      </w:pPr>
      <w:r w:rsidRPr="0042578D">
        <w:rPr>
          <w:rFonts w:ascii="Bookman Old Style" w:hAnsi="Bookman Old Style"/>
        </w:rPr>
        <w:t xml:space="preserve">Nel 2015 si registra però l’avvio di una positiva inversione di tendenza (+14% circa), piuttosto debole nel Centro-Nord del Paese, ben più robusta nel Mezzogiorno, dove ha agito in misura consistente l’effetto delle code di rendicontazione dei fondi comunitari riferiti al ciclo 2007-2013. Seppur parziali e provvisori, i dati attualmente disponibili sembrano consolidare nel 2016 la ripresa degli investimenti comunali (+7% rispetto al 2015). Tale indicazione si ricava dal confronto tra le informazioni desunte dai Certificati consuntivi di bilancio 2015 e i dati del Monitoraggio saldo finale di competenza comunicati alla Ragioneria Generale dello Stato al 31 marzo scorso, utilizzando come </w:t>
      </w:r>
      <w:r w:rsidRPr="0042578D">
        <w:rPr>
          <w:rFonts w:ascii="Bookman Old Style" w:hAnsi="Bookman Old Style"/>
          <w:i/>
        </w:rPr>
        <w:t>proxy</w:t>
      </w:r>
      <w:r w:rsidRPr="0042578D">
        <w:rPr>
          <w:rFonts w:ascii="Bookman Old Style" w:hAnsi="Bookman Old Style"/>
        </w:rPr>
        <w:t xml:space="preserve"> degli investimenti fissi lordi 2016 l’85% circa degli impegni in conto capitale complessivamente assunti nell’anno di riferimento, sulla base delle evidenze empiriche dedotte dai precedenti esercizi finanziari.</w:t>
      </w:r>
      <w:r>
        <w:rPr>
          <w:rFonts w:ascii="Book Antiqua" w:hAnsi="Book Antiqua"/>
        </w:rPr>
        <w:t xml:space="preserve"> </w:t>
      </w:r>
    </w:p>
    <w:p w:rsidR="00DA2581" w:rsidRPr="00CC69C8" w:rsidRDefault="00DA2581" w:rsidP="00DA2581">
      <w:pPr>
        <w:keepNext/>
        <w:tabs>
          <w:tab w:val="left" w:pos="426"/>
        </w:tabs>
        <w:spacing w:after="0" w:line="240" w:lineRule="auto"/>
        <w:jc w:val="center"/>
        <w:rPr>
          <w:rFonts w:ascii="Arial Narrow" w:hAnsi="Arial Narrow"/>
          <w:i/>
          <w:caps/>
          <w:sz w:val="20"/>
        </w:rPr>
      </w:pPr>
      <w:r w:rsidRPr="00CC69C8">
        <w:rPr>
          <w:rFonts w:ascii="Arial Narrow" w:hAnsi="Arial Narrow"/>
          <w:i/>
          <w:caps/>
          <w:sz w:val="20"/>
        </w:rPr>
        <w:lastRenderedPageBreak/>
        <w:t>Andamento degli investimenti fissi lordi comunali</w:t>
      </w:r>
    </w:p>
    <w:p w:rsidR="00DA2581" w:rsidRPr="002640DB" w:rsidRDefault="003C3BB3" w:rsidP="00DA2581">
      <w:pPr>
        <w:keepNext/>
        <w:tabs>
          <w:tab w:val="left" w:pos="426"/>
        </w:tabs>
        <w:spacing w:after="0" w:line="240" w:lineRule="auto"/>
        <w:jc w:val="center"/>
        <w:rPr>
          <w:rFonts w:ascii="Arial Narrow" w:hAnsi="Arial Narrow"/>
          <w:i/>
          <w:sz w:val="20"/>
        </w:rPr>
      </w:pPr>
      <w:r>
        <w:rPr>
          <w:rFonts w:ascii="Arial Narrow" w:hAnsi="Arial Narrow"/>
          <w:i/>
          <w:sz w:val="20"/>
        </w:rPr>
        <w:t>Impegni</w:t>
      </w:r>
      <w:r w:rsidR="00DA2581" w:rsidRPr="002640DB">
        <w:rPr>
          <w:rFonts w:ascii="Arial Narrow" w:hAnsi="Arial Narrow"/>
          <w:i/>
          <w:sz w:val="20"/>
        </w:rPr>
        <w:t xml:space="preserve"> in miliardi di euro. Anni 2010-2016</w:t>
      </w:r>
    </w:p>
    <w:p w:rsidR="00DA2581" w:rsidRDefault="00DA2581" w:rsidP="00DA2581">
      <w:pPr>
        <w:tabs>
          <w:tab w:val="left" w:pos="426"/>
        </w:tabs>
        <w:spacing w:after="0" w:line="240" w:lineRule="auto"/>
        <w:jc w:val="center"/>
        <w:rPr>
          <w:rFonts w:ascii="Book Antiqua" w:hAnsi="Book Antiqua"/>
        </w:rPr>
      </w:pPr>
      <w:r>
        <w:rPr>
          <w:rFonts w:ascii="Book Antiqua" w:hAnsi="Book Antiqua"/>
          <w:noProof/>
          <w:lang w:eastAsia="it-IT"/>
        </w:rPr>
        <w:drawing>
          <wp:inline distT="0" distB="0" distL="0" distR="0">
            <wp:extent cx="4320000" cy="1561817"/>
            <wp:effectExtent l="0" t="0" r="444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000" cy="1561817"/>
                    </a:xfrm>
                    <a:prstGeom prst="rect">
                      <a:avLst/>
                    </a:prstGeom>
                    <a:noFill/>
                  </pic:spPr>
                </pic:pic>
              </a:graphicData>
            </a:graphic>
          </wp:inline>
        </w:drawing>
      </w:r>
    </w:p>
    <w:p w:rsidR="00DA2581" w:rsidRPr="002640DB" w:rsidRDefault="00DA2581" w:rsidP="00DA2581">
      <w:pPr>
        <w:spacing w:after="0" w:line="240" w:lineRule="auto"/>
        <w:ind w:firstLineChars="100" w:firstLine="160"/>
        <w:jc w:val="center"/>
        <w:rPr>
          <w:rFonts w:ascii="Arial Narrow" w:eastAsia="Times New Roman" w:hAnsi="Arial Narrow" w:cs="Times New Roman"/>
          <w:i/>
          <w:iCs/>
          <w:color w:val="000000"/>
          <w:sz w:val="16"/>
          <w:szCs w:val="16"/>
          <w:lang w:eastAsia="it-IT"/>
        </w:rPr>
      </w:pPr>
      <w:r w:rsidRPr="002640DB">
        <w:rPr>
          <w:rFonts w:ascii="Arial Narrow" w:eastAsia="Times New Roman" w:hAnsi="Arial Narrow" w:cs="Times New Roman"/>
          <w:i/>
          <w:iCs/>
          <w:color w:val="000000"/>
          <w:sz w:val="16"/>
          <w:szCs w:val="16"/>
          <w:lang w:eastAsia="it-IT"/>
        </w:rPr>
        <w:t xml:space="preserve">Fonte: elaborazione IFEL su </w:t>
      </w:r>
      <w:r>
        <w:rPr>
          <w:rFonts w:ascii="Arial Narrow" w:eastAsia="Times New Roman" w:hAnsi="Arial Narrow" w:cs="Times New Roman"/>
          <w:i/>
          <w:iCs/>
          <w:color w:val="000000"/>
          <w:sz w:val="16"/>
          <w:szCs w:val="16"/>
          <w:lang w:eastAsia="it-IT"/>
        </w:rPr>
        <w:t>dati CCCB</w:t>
      </w:r>
      <w:r w:rsidRPr="002640DB">
        <w:rPr>
          <w:rFonts w:ascii="Arial Narrow" w:eastAsia="Times New Roman" w:hAnsi="Arial Narrow" w:cs="Times New Roman"/>
          <w:i/>
          <w:iCs/>
          <w:color w:val="000000"/>
          <w:sz w:val="16"/>
          <w:szCs w:val="16"/>
          <w:lang w:eastAsia="it-IT"/>
        </w:rPr>
        <w:t xml:space="preserve"> 2015 e monitoraggio saldo di competenza 2016</w:t>
      </w:r>
    </w:p>
    <w:p w:rsidR="00DA2581" w:rsidRPr="002640DB" w:rsidRDefault="00DA2581" w:rsidP="00DA2581">
      <w:pPr>
        <w:tabs>
          <w:tab w:val="left" w:pos="426"/>
        </w:tabs>
        <w:spacing w:after="0" w:line="240" w:lineRule="auto"/>
        <w:jc w:val="center"/>
        <w:rPr>
          <w:rFonts w:ascii="Book Antiqua" w:hAnsi="Book Antiqua"/>
          <w:sz w:val="32"/>
        </w:rPr>
      </w:pPr>
    </w:p>
    <w:p w:rsidR="00DA2581" w:rsidRDefault="00DA2581" w:rsidP="00DA2581">
      <w:pPr>
        <w:tabs>
          <w:tab w:val="left" w:pos="426"/>
        </w:tabs>
        <w:spacing w:after="120" w:line="259" w:lineRule="auto"/>
        <w:jc w:val="both"/>
        <w:rPr>
          <w:rFonts w:ascii="Bookman Old Style" w:hAnsi="Bookman Old Style"/>
        </w:rPr>
      </w:pPr>
      <w:r w:rsidRPr="0042578D">
        <w:rPr>
          <w:rFonts w:ascii="Bookman Old Style" w:hAnsi="Bookman Old Style"/>
        </w:rPr>
        <w:t xml:space="preserve">Contrariamente a quanto accaduto nell’anno precedente, nel 2016 la crescita degli investimenti </w:t>
      </w:r>
      <w:r w:rsidR="00BF35ED">
        <w:rPr>
          <w:rFonts w:ascii="Bookman Old Style" w:hAnsi="Bookman Old Style"/>
        </w:rPr>
        <w:t xml:space="preserve">appare più </w:t>
      </w:r>
      <w:r w:rsidRPr="0042578D">
        <w:rPr>
          <w:rFonts w:ascii="Bookman Old Style" w:hAnsi="Bookman Old Style"/>
        </w:rPr>
        <w:t xml:space="preserve">diffusa sul territorio, investendo – pur con differente intensità – le diverse aree geografiche del Paese e quasi tutte le fasce demografiche del comparto. In particolare, molto incoraggiante appare il dato del Nord (+9%) e ancora più il salto del Centro (+24%, accentuato dall’elevato valore apportato da Roma Capitale). Anche il risultato del Sud (+1%) va inteso positivamente, dovendosi valorizzare la conferma dell’ottima </w:t>
      </w:r>
      <w:r w:rsidRPr="0042578D">
        <w:rPr>
          <w:rFonts w:ascii="Bookman Old Style" w:hAnsi="Bookman Old Style"/>
          <w:i/>
        </w:rPr>
        <w:t>performance</w:t>
      </w:r>
      <w:r w:rsidRPr="0042578D">
        <w:rPr>
          <w:rFonts w:ascii="Bookman Old Style" w:hAnsi="Bookman Old Style"/>
        </w:rPr>
        <w:t xml:space="preserve"> dell’anno precedente</w:t>
      </w:r>
      <w:r w:rsidR="00B27DDF">
        <w:rPr>
          <w:rFonts w:ascii="Bookman Old Style" w:hAnsi="Bookman Old Style"/>
        </w:rPr>
        <w:t>, pur venendo meno l’effetto degli elementi contingenti dovuti alla programmazione comunitaria</w:t>
      </w:r>
      <w:r w:rsidRPr="0042578D">
        <w:rPr>
          <w:rFonts w:ascii="Bookman Old Style" w:hAnsi="Bookman Old Style"/>
        </w:rPr>
        <w:t>.</w:t>
      </w:r>
    </w:p>
    <w:p w:rsidR="00CC69C8" w:rsidRPr="00CC69C8" w:rsidRDefault="00CC69C8" w:rsidP="00CC69C8">
      <w:pPr>
        <w:tabs>
          <w:tab w:val="left" w:pos="426"/>
        </w:tabs>
        <w:spacing w:after="0" w:line="240" w:lineRule="auto"/>
        <w:jc w:val="center"/>
        <w:rPr>
          <w:rFonts w:ascii="Book Antiqua" w:hAnsi="Book Antiqua"/>
          <w:sz w:val="32"/>
        </w:rPr>
      </w:pPr>
    </w:p>
    <w:p w:rsidR="00DA2581" w:rsidRPr="000B51ED" w:rsidRDefault="000B51ED" w:rsidP="00CC69C8">
      <w:pPr>
        <w:keepNext/>
        <w:spacing w:before="120" w:after="0" w:line="240" w:lineRule="auto"/>
        <w:jc w:val="center"/>
        <w:rPr>
          <w:rFonts w:ascii="Arial Narrow" w:eastAsia="Times New Roman" w:hAnsi="Arial Narrow" w:cs="Times New Roman"/>
          <w:bCs/>
          <w:i/>
          <w:iCs/>
          <w:caps/>
          <w:color w:val="000000"/>
          <w:sz w:val="20"/>
          <w:szCs w:val="18"/>
          <w:lang w:eastAsia="it-IT"/>
        </w:rPr>
      </w:pPr>
      <w:r>
        <w:rPr>
          <w:rFonts w:ascii="Arial Narrow" w:eastAsia="Times New Roman" w:hAnsi="Arial Narrow" w:cs="Times New Roman"/>
          <w:bCs/>
          <w:i/>
          <w:iCs/>
          <w:caps/>
          <w:color w:val="000000"/>
          <w:sz w:val="20"/>
          <w:szCs w:val="18"/>
          <w:lang w:eastAsia="it-IT"/>
        </w:rPr>
        <w:t>spese</w:t>
      </w:r>
      <w:r w:rsidR="00DA2581" w:rsidRPr="000B51ED">
        <w:rPr>
          <w:rFonts w:ascii="Arial Narrow" w:eastAsia="Times New Roman" w:hAnsi="Arial Narrow" w:cs="Times New Roman"/>
          <w:bCs/>
          <w:i/>
          <w:iCs/>
          <w:caps/>
          <w:color w:val="000000"/>
          <w:sz w:val="20"/>
          <w:szCs w:val="18"/>
          <w:lang w:eastAsia="it-IT"/>
        </w:rPr>
        <w:t xml:space="preserve"> in conto capitale dei Comuni </w:t>
      </w:r>
      <w:r w:rsidR="00BF35ED">
        <w:rPr>
          <w:rFonts w:ascii="Arial Narrow" w:eastAsia="Times New Roman" w:hAnsi="Arial Narrow" w:cs="Times New Roman"/>
          <w:bCs/>
          <w:i/>
          <w:iCs/>
          <w:caps/>
          <w:color w:val="000000"/>
          <w:sz w:val="20"/>
          <w:szCs w:val="18"/>
          <w:lang w:eastAsia="it-IT"/>
        </w:rPr>
        <w:t>(escluse le Regioni a statuto speciale del nord)</w:t>
      </w:r>
    </w:p>
    <w:p w:rsidR="00DA2581" w:rsidRPr="002640DB" w:rsidRDefault="000B51ED" w:rsidP="00DA2581">
      <w:pPr>
        <w:keepNext/>
        <w:spacing w:after="0" w:line="240" w:lineRule="auto"/>
        <w:jc w:val="center"/>
        <w:rPr>
          <w:rFonts w:ascii="Arial Narrow" w:eastAsia="Times New Roman" w:hAnsi="Arial Narrow" w:cs="Times New Roman"/>
          <w:bCs/>
          <w:i/>
          <w:iCs/>
          <w:color w:val="000000"/>
          <w:sz w:val="20"/>
          <w:szCs w:val="18"/>
          <w:lang w:eastAsia="it-IT"/>
        </w:rPr>
      </w:pPr>
      <w:r>
        <w:rPr>
          <w:rFonts w:ascii="Arial Narrow" w:eastAsia="Times New Roman" w:hAnsi="Arial Narrow" w:cs="Times New Roman"/>
          <w:bCs/>
          <w:i/>
          <w:iCs/>
          <w:color w:val="000000"/>
          <w:sz w:val="20"/>
          <w:szCs w:val="18"/>
          <w:lang w:eastAsia="it-IT"/>
        </w:rPr>
        <w:t>Impegni</w:t>
      </w:r>
      <w:r w:rsidR="00DA2581" w:rsidRPr="002640DB">
        <w:rPr>
          <w:rFonts w:ascii="Arial Narrow" w:eastAsia="Times New Roman" w:hAnsi="Arial Narrow" w:cs="Times New Roman"/>
          <w:bCs/>
          <w:i/>
          <w:iCs/>
          <w:color w:val="000000"/>
          <w:sz w:val="20"/>
          <w:szCs w:val="18"/>
          <w:lang w:eastAsia="it-IT"/>
        </w:rPr>
        <w:t xml:space="preserve"> in </w:t>
      </w:r>
      <w:r w:rsidR="00BF35ED">
        <w:rPr>
          <w:rFonts w:ascii="Arial Narrow" w:eastAsia="Times New Roman" w:hAnsi="Arial Narrow" w:cs="Times New Roman"/>
          <w:bCs/>
          <w:i/>
          <w:iCs/>
          <w:color w:val="000000"/>
          <w:sz w:val="20"/>
          <w:szCs w:val="18"/>
          <w:lang w:eastAsia="it-IT"/>
        </w:rPr>
        <w:t>migliaia</w:t>
      </w:r>
      <w:r w:rsidR="00DA2581" w:rsidRPr="002640DB">
        <w:rPr>
          <w:rFonts w:ascii="Arial Narrow" w:eastAsia="Times New Roman" w:hAnsi="Arial Narrow" w:cs="Times New Roman"/>
          <w:bCs/>
          <w:i/>
          <w:iCs/>
          <w:color w:val="000000"/>
          <w:sz w:val="20"/>
          <w:szCs w:val="18"/>
          <w:lang w:eastAsia="it-IT"/>
        </w:rPr>
        <w:t xml:space="preserve"> di euro. Anni 2015 e 2016</w:t>
      </w:r>
    </w:p>
    <w:p w:rsidR="00DA2581" w:rsidRDefault="009067AE" w:rsidP="00DA2581">
      <w:pPr>
        <w:tabs>
          <w:tab w:val="left" w:pos="426"/>
        </w:tabs>
        <w:spacing w:after="0" w:line="240" w:lineRule="auto"/>
        <w:jc w:val="center"/>
        <w:rPr>
          <w:rFonts w:ascii="Arial Narrow" w:eastAsia="Times New Roman" w:hAnsi="Arial Narrow" w:cs="Times New Roman"/>
          <w:i/>
          <w:iCs/>
          <w:color w:val="000000"/>
          <w:sz w:val="16"/>
          <w:szCs w:val="16"/>
          <w:lang w:eastAsia="it-IT"/>
        </w:rPr>
      </w:pPr>
      <w:r w:rsidRPr="009067AE">
        <w:rPr>
          <w:noProof/>
          <w:lang w:eastAsia="it-IT"/>
        </w:rPr>
        <w:drawing>
          <wp:inline distT="0" distB="0" distL="0" distR="0">
            <wp:extent cx="4968000" cy="3280375"/>
            <wp:effectExtent l="0" t="0" r="444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000" cy="3280375"/>
                    </a:xfrm>
                    <a:prstGeom prst="rect">
                      <a:avLst/>
                    </a:prstGeom>
                    <a:noFill/>
                    <a:ln>
                      <a:noFill/>
                    </a:ln>
                  </pic:spPr>
                </pic:pic>
              </a:graphicData>
            </a:graphic>
          </wp:inline>
        </w:drawing>
      </w:r>
    </w:p>
    <w:p w:rsidR="00DA2581" w:rsidRPr="002640DB" w:rsidRDefault="00DA2581" w:rsidP="009067AE">
      <w:pPr>
        <w:tabs>
          <w:tab w:val="left" w:pos="426"/>
        </w:tabs>
        <w:spacing w:after="0" w:line="240" w:lineRule="auto"/>
        <w:jc w:val="center"/>
        <w:rPr>
          <w:rFonts w:ascii="Arial Narrow" w:eastAsia="Times New Roman" w:hAnsi="Arial Narrow" w:cs="Times New Roman"/>
          <w:i/>
          <w:iCs/>
          <w:color w:val="000000"/>
          <w:sz w:val="16"/>
          <w:szCs w:val="16"/>
          <w:lang w:eastAsia="it-IT"/>
        </w:rPr>
      </w:pPr>
      <w:r w:rsidRPr="002640DB">
        <w:rPr>
          <w:rFonts w:ascii="Arial Narrow" w:eastAsia="Times New Roman" w:hAnsi="Arial Narrow" w:cs="Times New Roman"/>
          <w:i/>
          <w:iCs/>
          <w:color w:val="000000"/>
          <w:sz w:val="16"/>
          <w:szCs w:val="16"/>
          <w:lang w:eastAsia="it-IT"/>
        </w:rPr>
        <w:t xml:space="preserve"> </w:t>
      </w:r>
      <w:r>
        <w:rPr>
          <w:rFonts w:ascii="Arial Narrow" w:eastAsia="Times New Roman" w:hAnsi="Arial Narrow" w:cs="Times New Roman"/>
          <w:i/>
          <w:iCs/>
          <w:color w:val="000000"/>
          <w:sz w:val="16"/>
          <w:szCs w:val="16"/>
          <w:lang w:eastAsia="it-IT"/>
        </w:rPr>
        <w:t xml:space="preserve">Fonte: </w:t>
      </w:r>
      <w:r w:rsidRPr="002640DB">
        <w:rPr>
          <w:rFonts w:ascii="Arial Narrow" w:eastAsia="Times New Roman" w:hAnsi="Arial Narrow" w:cs="Times New Roman"/>
          <w:i/>
          <w:iCs/>
          <w:color w:val="000000"/>
          <w:sz w:val="16"/>
          <w:szCs w:val="16"/>
          <w:lang w:eastAsia="it-IT"/>
        </w:rPr>
        <w:t xml:space="preserve">elaborazione IFEL su </w:t>
      </w:r>
      <w:r>
        <w:rPr>
          <w:rFonts w:ascii="Arial Narrow" w:eastAsia="Times New Roman" w:hAnsi="Arial Narrow" w:cs="Times New Roman"/>
          <w:i/>
          <w:iCs/>
          <w:color w:val="000000"/>
          <w:sz w:val="16"/>
          <w:szCs w:val="16"/>
          <w:lang w:eastAsia="it-IT"/>
        </w:rPr>
        <w:t>dati CCCB</w:t>
      </w:r>
      <w:r w:rsidRPr="002640DB">
        <w:rPr>
          <w:rFonts w:ascii="Arial Narrow" w:eastAsia="Times New Roman" w:hAnsi="Arial Narrow" w:cs="Times New Roman"/>
          <w:i/>
          <w:iCs/>
          <w:color w:val="000000"/>
          <w:sz w:val="16"/>
          <w:szCs w:val="16"/>
          <w:lang w:eastAsia="it-IT"/>
        </w:rPr>
        <w:t xml:space="preserve"> 2015 e monitoraggio saldo di competenza 2016</w:t>
      </w:r>
    </w:p>
    <w:p w:rsidR="00DA2581" w:rsidRDefault="00DA2581" w:rsidP="00DA2581">
      <w:pPr>
        <w:tabs>
          <w:tab w:val="left" w:pos="426"/>
        </w:tabs>
        <w:spacing w:after="0" w:line="240" w:lineRule="auto"/>
        <w:jc w:val="center"/>
        <w:rPr>
          <w:rFonts w:ascii="Book Antiqua" w:hAnsi="Book Antiqua"/>
        </w:rPr>
      </w:pPr>
    </w:p>
    <w:p w:rsidR="00DA2581" w:rsidRDefault="00DA2581" w:rsidP="009B052B">
      <w:pPr>
        <w:keepNext/>
        <w:tabs>
          <w:tab w:val="left" w:pos="426"/>
        </w:tabs>
        <w:spacing w:after="120" w:line="259" w:lineRule="auto"/>
        <w:jc w:val="both"/>
        <w:rPr>
          <w:rFonts w:ascii="Book Antiqua" w:hAnsi="Book Antiqua"/>
        </w:rPr>
      </w:pPr>
      <w:r>
        <w:rPr>
          <w:rFonts w:ascii="Book Antiqua" w:hAnsi="Book Antiqua"/>
        </w:rPr>
        <w:lastRenderedPageBreak/>
        <w:t>Alla luce degli andamenti evidenziati appare opportuno formulare due linee di riflessione.</w:t>
      </w:r>
    </w:p>
    <w:p w:rsidR="00DA2581" w:rsidRDefault="00DA2581" w:rsidP="00DA2581">
      <w:pPr>
        <w:tabs>
          <w:tab w:val="left" w:pos="426"/>
        </w:tabs>
        <w:spacing w:after="120" w:line="259" w:lineRule="auto"/>
        <w:jc w:val="both"/>
        <w:rPr>
          <w:rFonts w:ascii="Book Antiqua" w:hAnsi="Book Antiqua"/>
        </w:rPr>
      </w:pPr>
      <w:r>
        <w:rPr>
          <w:rFonts w:ascii="Book Antiqua" w:hAnsi="Book Antiqua"/>
        </w:rPr>
        <w:t xml:space="preserve">In primo luogo, seppur contrassegnati da un certo grado di provvisorietà, occorre evidenziare che i dati di competenza riportati segnalano una significativa deviazione rispetto alle indicazioni di cassa desunte dal sistema SIOPE, che costituisce la base informativa più utilizzata per delineare gli andamenti tendenziali dei sottosettori della Pubblica amministrazione. Si corre pertanto un serio rischio di alimentare i decisori pubblici con elementi conoscitivi inadeguati rispetto al nuovo assetto della contabilità pubblica, favorendo valutazioni erratiche circa la </w:t>
      </w:r>
      <w:r w:rsidRPr="008D015E">
        <w:rPr>
          <w:rFonts w:ascii="Book Antiqua" w:hAnsi="Book Antiqua"/>
          <w:i/>
        </w:rPr>
        <w:t>performance</w:t>
      </w:r>
      <w:r>
        <w:rPr>
          <w:rFonts w:ascii="Book Antiqua" w:hAnsi="Book Antiqua"/>
        </w:rPr>
        <w:t xml:space="preserve"> dei singoli comparti PA, con possibili ripercussioni negative in merito alle misure di intervento più appropriate.</w:t>
      </w:r>
    </w:p>
    <w:p w:rsidR="00DA2581" w:rsidRDefault="00DA2581" w:rsidP="00DA2581">
      <w:pPr>
        <w:tabs>
          <w:tab w:val="left" w:pos="426"/>
        </w:tabs>
        <w:spacing w:after="120" w:line="259" w:lineRule="auto"/>
        <w:jc w:val="both"/>
        <w:rPr>
          <w:rFonts w:ascii="Book Antiqua" w:hAnsi="Book Antiqua"/>
        </w:rPr>
      </w:pPr>
      <w:r>
        <w:rPr>
          <w:rFonts w:ascii="Book Antiqua" w:hAnsi="Book Antiqua"/>
        </w:rPr>
        <w:t xml:space="preserve">In secondo luogo, pur in presenza di segnali indubbiamente incoraggianti, la ripresa degli investimenti comunali si mostra ancora relativamente timida, frenata da una serie di ostacoli sui quali è opportuno riflettere anche per l’adozione di interventi di </w:t>
      </w:r>
      <w:r w:rsidR="00B27DDF">
        <w:rPr>
          <w:rFonts w:ascii="Book Antiqua" w:hAnsi="Book Antiqua"/>
        </w:rPr>
        <w:t>ulteriore sostegno</w:t>
      </w:r>
      <w:r>
        <w:rPr>
          <w:rFonts w:ascii="Book Antiqua" w:hAnsi="Book Antiqua"/>
        </w:rPr>
        <w:t>. Ci si riferisce in particolare alle diffuse difficoltà gestionali incontrate dai Comuni in fase di aggiudicazione dei lavori per opere pubbliche messi a gara, a causa della lenta e complessa attuazione delle modalità operative del riformato codice degli appalti. Nondimeno, fino al secondo semestre 2016 ulteriori ritardi sono certamente da imputare alla lentezza con la quale si è compiuta la stabilizzazione delle regole di finanza pubblica, prospettata con la modifica della legge 243 sul pareggio di bilancio e poi confluita nella Legge di bilancio 2017.</w:t>
      </w:r>
    </w:p>
    <w:p w:rsidR="00DA2581" w:rsidRDefault="00DA2581" w:rsidP="00DA2581">
      <w:pPr>
        <w:tabs>
          <w:tab w:val="left" w:pos="426"/>
        </w:tabs>
        <w:spacing w:after="120" w:line="259" w:lineRule="auto"/>
        <w:jc w:val="both"/>
        <w:rPr>
          <w:rFonts w:ascii="Book Antiqua" w:hAnsi="Book Antiqua"/>
        </w:rPr>
      </w:pPr>
      <w:r>
        <w:rPr>
          <w:rFonts w:ascii="Book Antiqua" w:hAnsi="Book Antiqua"/>
        </w:rPr>
        <w:t>Non deve infatti essere sottovalutato il fatto che il superamento dei vincoli di cassa originariamente previsti dalla legge 243 e la stabilizzazione del Fondo pluriennale vincolato nel vincolo di finanza pubblica assegnato al comparto dispiegheranno pienamente i benefici attesi solo a partire dal 2017, favorendo il recupero della programmazione finanziaria pluriennale e garantendo un impulso alla progettazione tecnica degli enti locali nell’arco del triennio 2017-</w:t>
      </w:r>
      <w:r w:rsidR="003C3BB3">
        <w:rPr>
          <w:rFonts w:ascii="Book Antiqua" w:hAnsi="Book Antiqua"/>
        </w:rPr>
        <w:t>20</w:t>
      </w:r>
      <w:r>
        <w:rPr>
          <w:rFonts w:ascii="Book Antiqua" w:hAnsi="Book Antiqua"/>
        </w:rPr>
        <w:t>19.</w:t>
      </w:r>
    </w:p>
    <w:p w:rsidR="00DA2581" w:rsidRDefault="00DA2581" w:rsidP="00DA2581">
      <w:pPr>
        <w:tabs>
          <w:tab w:val="left" w:pos="426"/>
        </w:tabs>
        <w:spacing w:after="120" w:line="259" w:lineRule="auto"/>
        <w:jc w:val="both"/>
        <w:rPr>
          <w:rFonts w:ascii="Book Antiqua" w:hAnsi="Book Antiqua"/>
        </w:rPr>
      </w:pPr>
      <w:r>
        <w:rPr>
          <w:rFonts w:ascii="Book Antiqua" w:hAnsi="Book Antiqua"/>
        </w:rPr>
        <w:t xml:space="preserve">Una valutazione del potenziale di investimento del comparto comunale è effettuabile utilizzando le informazioni contabili attualmente disponibili, al fine di quantificare il volume degli investimenti programmabili e finanziabili dai Comuni. Il tendenziale di spesa viene stimato seguendo un approccio di esigibilità pluriennale nell’ambito di uno schema di sostenibilità contabile e finanziaria, che tiene conto della dimensione degli avanzi di amministrazione applicabili e della loro corrispondenza con fondi di cassa effettivamente disponibili. </w:t>
      </w:r>
    </w:p>
    <w:p w:rsidR="002C6655" w:rsidRDefault="00DA2581" w:rsidP="00DA2581">
      <w:pPr>
        <w:tabs>
          <w:tab w:val="left" w:pos="426"/>
        </w:tabs>
        <w:spacing w:after="120" w:line="259" w:lineRule="auto"/>
        <w:jc w:val="both"/>
        <w:rPr>
          <w:rFonts w:ascii="Book Antiqua" w:hAnsi="Book Antiqua"/>
        </w:rPr>
      </w:pPr>
      <w:r>
        <w:rPr>
          <w:rFonts w:ascii="Book Antiqua" w:hAnsi="Book Antiqua"/>
        </w:rPr>
        <w:t xml:space="preserve">Ne deriva uno scenario di ripresa, che considera l’arco triennale della realizzazione delle opere (l’esigibilità degli interventi di investimento) e il necessario rispetto dei margini contabili e finanziari a disposizione del singolo ente. Tale scenario porta da qui al 2019 alla proiezione di un </w:t>
      </w:r>
      <w:r w:rsidRPr="00596327">
        <w:rPr>
          <w:rFonts w:ascii="Book Antiqua" w:hAnsi="Book Antiqua"/>
          <w:i/>
        </w:rPr>
        <w:t>surplus</w:t>
      </w:r>
      <w:r>
        <w:rPr>
          <w:rFonts w:ascii="Book Antiqua" w:hAnsi="Book Antiqua"/>
        </w:rPr>
        <w:t xml:space="preserve"> di investimenti comunali – rispetto all’ammontare registrato nel 2016 – pari a 9 miliardi di euro. </w:t>
      </w:r>
    </w:p>
    <w:p w:rsidR="00DA2581" w:rsidRDefault="002C6655" w:rsidP="00DA2581">
      <w:pPr>
        <w:tabs>
          <w:tab w:val="left" w:pos="426"/>
        </w:tabs>
        <w:spacing w:after="120" w:line="259" w:lineRule="auto"/>
        <w:jc w:val="both"/>
        <w:rPr>
          <w:rFonts w:ascii="Book Antiqua" w:hAnsi="Book Antiqua"/>
        </w:rPr>
      </w:pPr>
      <w:r>
        <w:rPr>
          <w:rFonts w:ascii="Book Antiqua" w:hAnsi="Book Antiqua"/>
        </w:rPr>
        <w:t>La stima ha carattere prudenziale, i</w:t>
      </w:r>
      <w:r w:rsidR="00DA2581">
        <w:rPr>
          <w:rFonts w:ascii="Book Antiqua" w:hAnsi="Book Antiqua"/>
        </w:rPr>
        <w:t>n attesa di poter aggiornare le previsioni</w:t>
      </w:r>
      <w:r>
        <w:rPr>
          <w:rFonts w:ascii="Book Antiqua" w:hAnsi="Book Antiqua"/>
        </w:rPr>
        <w:t xml:space="preserve"> sulla base dei rendiconti 2016</w:t>
      </w:r>
      <w:r w:rsidR="00DA2581">
        <w:rPr>
          <w:rFonts w:ascii="Book Antiqua" w:hAnsi="Book Antiqua"/>
        </w:rPr>
        <w:t>,</w:t>
      </w:r>
      <w:r w:rsidR="0080006D">
        <w:rPr>
          <w:rFonts w:ascii="Book Antiqua" w:hAnsi="Book Antiqua"/>
        </w:rPr>
        <w:t xml:space="preserve"> </w:t>
      </w:r>
      <w:r>
        <w:rPr>
          <w:rFonts w:ascii="Book Antiqua" w:hAnsi="Book Antiqua"/>
        </w:rPr>
        <w:t>in quanto assorbe</w:t>
      </w:r>
      <w:r w:rsidR="00DA2581">
        <w:rPr>
          <w:rFonts w:ascii="Book Antiqua" w:hAnsi="Book Antiqua"/>
        </w:rPr>
        <w:t xml:space="preserve"> solo il 50% circa dell’avanzo complessivamente ap</w:t>
      </w:r>
      <w:r>
        <w:rPr>
          <w:rFonts w:ascii="Book Antiqua" w:hAnsi="Book Antiqua"/>
        </w:rPr>
        <w:t xml:space="preserve">plicabile dai Comuni e trascura </w:t>
      </w:r>
      <w:r w:rsidR="00DA2581">
        <w:rPr>
          <w:rFonts w:ascii="Book Antiqua" w:hAnsi="Book Antiqua"/>
        </w:rPr>
        <w:t xml:space="preserve">completamente le risorse finanziate con indebitamento. È il Nord del Paese ad esprimere le maggiori potenzialità del </w:t>
      </w:r>
      <w:r w:rsidR="00DA2581" w:rsidRPr="00F019F7">
        <w:rPr>
          <w:rFonts w:ascii="Book Antiqua" w:hAnsi="Book Antiqua"/>
          <w:i/>
        </w:rPr>
        <w:t>surplus</w:t>
      </w:r>
      <w:r w:rsidR="00DA2581">
        <w:rPr>
          <w:rFonts w:ascii="Book Antiqua" w:hAnsi="Book Antiqua"/>
          <w:i/>
        </w:rPr>
        <w:t xml:space="preserve"> </w:t>
      </w:r>
      <w:r w:rsidR="00DA2581" w:rsidRPr="00F019F7">
        <w:rPr>
          <w:rFonts w:ascii="Book Antiqua" w:hAnsi="Book Antiqua"/>
        </w:rPr>
        <w:t>(56%),</w:t>
      </w:r>
      <w:r w:rsidR="00DA2581">
        <w:rPr>
          <w:rFonts w:ascii="Book Antiqua" w:hAnsi="Book Antiqua"/>
        </w:rPr>
        <w:t xml:space="preserve"> dal momento che in questa area del Paese si concentra una quota molto significativa di avanzo applicabile e </w:t>
      </w:r>
      <w:r>
        <w:rPr>
          <w:rFonts w:ascii="Book Antiqua" w:hAnsi="Book Antiqua"/>
        </w:rPr>
        <w:t xml:space="preserve">di </w:t>
      </w:r>
      <w:r w:rsidR="00DA2581">
        <w:rPr>
          <w:rFonts w:ascii="Book Antiqua" w:hAnsi="Book Antiqua"/>
        </w:rPr>
        <w:t xml:space="preserve">disponibilità di cassa, ma anche per le altre zone territoriali del Paese gli effetti attesi si rivelano ugualmente importanti. Preme </w:t>
      </w:r>
      <w:r w:rsidR="00DA2581">
        <w:rPr>
          <w:rFonts w:ascii="Book Antiqua" w:hAnsi="Book Antiqua"/>
        </w:rPr>
        <w:lastRenderedPageBreak/>
        <w:t xml:space="preserve">segnalare, infine, </w:t>
      </w:r>
      <w:r>
        <w:rPr>
          <w:rFonts w:ascii="Book Antiqua" w:hAnsi="Book Antiqua"/>
        </w:rPr>
        <w:t xml:space="preserve">la buona </w:t>
      </w:r>
      <w:r w:rsidR="00DA2581">
        <w:rPr>
          <w:rFonts w:ascii="Book Antiqua" w:hAnsi="Book Antiqua"/>
        </w:rPr>
        <w:t>corrispondenza della stima rispetto alla distribuzione territoriale degli spazi finanziari messi a disposizione del comparto comunale mediante lo strumento del Patto nazionale verticale</w:t>
      </w:r>
      <w:r>
        <w:rPr>
          <w:rFonts w:ascii="Book Antiqua" w:hAnsi="Book Antiqua"/>
        </w:rPr>
        <w:t xml:space="preserve"> (febbraio 2017)</w:t>
      </w:r>
      <w:r w:rsidR="00DA2581">
        <w:rPr>
          <w:rFonts w:ascii="Book Antiqua" w:hAnsi="Book Antiqua"/>
        </w:rPr>
        <w:t>.</w:t>
      </w:r>
    </w:p>
    <w:p w:rsidR="00DA2581" w:rsidRDefault="00DA2581" w:rsidP="00DA2581">
      <w:pPr>
        <w:tabs>
          <w:tab w:val="left" w:pos="426"/>
        </w:tabs>
        <w:spacing w:after="120" w:line="259" w:lineRule="auto"/>
        <w:jc w:val="both"/>
        <w:rPr>
          <w:rFonts w:ascii="Book Antiqua" w:hAnsi="Book Antiqua"/>
        </w:rPr>
      </w:pPr>
    </w:p>
    <w:p w:rsidR="00DA2581" w:rsidRPr="000B51ED" w:rsidRDefault="00DA2581" w:rsidP="00DA2581">
      <w:pPr>
        <w:keepNext/>
        <w:spacing w:after="0" w:line="240" w:lineRule="auto"/>
        <w:jc w:val="center"/>
        <w:rPr>
          <w:rFonts w:ascii="Arial Narrow" w:eastAsia="Times New Roman" w:hAnsi="Arial Narrow" w:cs="Times New Roman"/>
          <w:bCs/>
          <w:i/>
          <w:iCs/>
          <w:caps/>
          <w:color w:val="000000"/>
          <w:sz w:val="20"/>
          <w:szCs w:val="18"/>
          <w:lang w:eastAsia="it-IT"/>
        </w:rPr>
      </w:pPr>
      <w:r w:rsidRPr="000B51ED">
        <w:rPr>
          <w:rFonts w:ascii="Arial Narrow" w:eastAsia="Times New Roman" w:hAnsi="Arial Narrow" w:cs="Times New Roman"/>
          <w:bCs/>
          <w:i/>
          <w:iCs/>
          <w:caps/>
          <w:color w:val="000000"/>
          <w:sz w:val="20"/>
          <w:szCs w:val="18"/>
          <w:lang w:eastAsia="it-IT"/>
        </w:rPr>
        <w:t>Surplus investimenti fissi lordi comunali 2017-2019</w:t>
      </w:r>
      <w:r w:rsidR="0080006D" w:rsidRPr="000B51ED">
        <w:rPr>
          <w:rFonts w:ascii="Arial Narrow" w:eastAsia="Times New Roman" w:hAnsi="Arial Narrow" w:cs="Times New Roman"/>
          <w:bCs/>
          <w:i/>
          <w:iCs/>
          <w:caps/>
          <w:color w:val="000000"/>
          <w:sz w:val="20"/>
          <w:szCs w:val="18"/>
          <w:lang w:eastAsia="it-IT"/>
        </w:rPr>
        <w:t xml:space="preserve"> </w:t>
      </w:r>
      <w:r w:rsidRPr="000B51ED">
        <w:rPr>
          <w:rFonts w:ascii="Arial Narrow" w:eastAsia="Times New Roman" w:hAnsi="Arial Narrow" w:cs="Times New Roman"/>
          <w:bCs/>
          <w:i/>
          <w:iCs/>
          <w:caps/>
          <w:color w:val="000000"/>
          <w:sz w:val="20"/>
          <w:szCs w:val="18"/>
          <w:lang w:eastAsia="it-IT"/>
        </w:rPr>
        <w:t>rispetto al livello del 2016</w:t>
      </w:r>
    </w:p>
    <w:p w:rsidR="00DA2581" w:rsidRPr="002640DB" w:rsidRDefault="00B9145E" w:rsidP="00DA2581">
      <w:pPr>
        <w:keepNext/>
        <w:spacing w:after="0" w:line="240" w:lineRule="auto"/>
        <w:jc w:val="center"/>
        <w:rPr>
          <w:rFonts w:ascii="Arial Narrow" w:eastAsia="Times New Roman" w:hAnsi="Arial Narrow" w:cs="Times New Roman"/>
          <w:bCs/>
          <w:i/>
          <w:iCs/>
          <w:color w:val="000000"/>
          <w:sz w:val="20"/>
          <w:szCs w:val="18"/>
          <w:lang w:eastAsia="it-IT"/>
        </w:rPr>
      </w:pPr>
      <w:r>
        <w:rPr>
          <w:rFonts w:ascii="Arial Narrow" w:eastAsia="Times New Roman" w:hAnsi="Arial Narrow" w:cs="Times New Roman"/>
          <w:bCs/>
          <w:i/>
          <w:iCs/>
          <w:color w:val="000000"/>
          <w:sz w:val="20"/>
          <w:szCs w:val="18"/>
          <w:lang w:eastAsia="it-IT"/>
        </w:rPr>
        <w:t xml:space="preserve">Impegni </w:t>
      </w:r>
      <w:r w:rsidR="00DA2581" w:rsidRPr="002640DB">
        <w:rPr>
          <w:rFonts w:ascii="Arial Narrow" w:eastAsia="Times New Roman" w:hAnsi="Arial Narrow" w:cs="Times New Roman"/>
          <w:bCs/>
          <w:i/>
          <w:iCs/>
          <w:color w:val="000000"/>
          <w:sz w:val="20"/>
          <w:szCs w:val="18"/>
          <w:lang w:eastAsia="it-IT"/>
        </w:rPr>
        <w:t xml:space="preserve">in </w:t>
      </w:r>
      <w:r w:rsidR="00DA2581">
        <w:rPr>
          <w:rFonts w:ascii="Arial Narrow" w:eastAsia="Times New Roman" w:hAnsi="Arial Narrow" w:cs="Times New Roman"/>
          <w:bCs/>
          <w:i/>
          <w:iCs/>
          <w:color w:val="000000"/>
          <w:sz w:val="20"/>
          <w:szCs w:val="18"/>
          <w:lang w:eastAsia="it-IT"/>
        </w:rPr>
        <w:t>milioni di euro</w:t>
      </w:r>
    </w:p>
    <w:p w:rsidR="00DA2581" w:rsidRDefault="00DA2581" w:rsidP="00DA2581">
      <w:pPr>
        <w:spacing w:after="0" w:line="240" w:lineRule="auto"/>
        <w:jc w:val="center"/>
        <w:rPr>
          <w:rFonts w:ascii="Arial Narrow" w:hAnsi="Arial Narrow"/>
          <w:i/>
          <w:iCs/>
          <w:color w:val="000000"/>
          <w:sz w:val="16"/>
          <w:szCs w:val="16"/>
        </w:rPr>
      </w:pPr>
      <w:r>
        <w:rPr>
          <w:rFonts w:ascii="Book Antiqua" w:hAnsi="Book Antiqua"/>
          <w:noProof/>
          <w:lang w:eastAsia="it-IT"/>
        </w:rPr>
        <w:drawing>
          <wp:inline distT="0" distB="0" distL="0" distR="0">
            <wp:extent cx="4320000" cy="1801752"/>
            <wp:effectExtent l="0" t="0" r="4445"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000" cy="1801752"/>
                    </a:xfrm>
                    <a:prstGeom prst="rect">
                      <a:avLst/>
                    </a:prstGeom>
                    <a:noFill/>
                  </pic:spPr>
                </pic:pic>
              </a:graphicData>
            </a:graphic>
          </wp:inline>
        </w:drawing>
      </w:r>
    </w:p>
    <w:p w:rsidR="00DA2581" w:rsidRDefault="00DA2581" w:rsidP="00DA2581">
      <w:pPr>
        <w:spacing w:before="80" w:after="0" w:line="240" w:lineRule="auto"/>
        <w:jc w:val="center"/>
        <w:rPr>
          <w:rFonts w:ascii="Arial Narrow" w:eastAsia="Times New Roman" w:hAnsi="Arial Narrow" w:cs="Times New Roman"/>
          <w:i/>
          <w:iCs/>
          <w:color w:val="000000"/>
          <w:sz w:val="16"/>
          <w:szCs w:val="16"/>
          <w:lang w:eastAsia="it-IT"/>
        </w:rPr>
      </w:pPr>
      <w:r w:rsidRPr="00F45059">
        <w:rPr>
          <w:rFonts w:ascii="Arial Narrow" w:eastAsia="Times New Roman" w:hAnsi="Arial Narrow" w:cs="Times New Roman"/>
          <w:i/>
          <w:iCs/>
          <w:color w:val="000000"/>
          <w:sz w:val="16"/>
          <w:szCs w:val="16"/>
          <w:lang w:eastAsia="it-IT"/>
        </w:rPr>
        <w:t xml:space="preserve">Fonte: stima IFEL su dati </w:t>
      </w:r>
      <w:r>
        <w:rPr>
          <w:rFonts w:ascii="Arial Narrow" w:eastAsia="Times New Roman" w:hAnsi="Arial Narrow" w:cs="Times New Roman"/>
          <w:i/>
          <w:iCs/>
          <w:color w:val="000000"/>
          <w:sz w:val="16"/>
          <w:szCs w:val="16"/>
          <w:lang w:eastAsia="it-IT"/>
        </w:rPr>
        <w:t xml:space="preserve">CCCB 2010, </w:t>
      </w:r>
      <w:r w:rsidRPr="00F45059">
        <w:rPr>
          <w:rFonts w:ascii="Arial Narrow" w:eastAsia="Times New Roman" w:hAnsi="Arial Narrow" w:cs="Times New Roman"/>
          <w:i/>
          <w:iCs/>
          <w:color w:val="000000"/>
          <w:sz w:val="16"/>
          <w:szCs w:val="16"/>
          <w:lang w:eastAsia="it-IT"/>
        </w:rPr>
        <w:t xml:space="preserve">2014 e 2015 e monitoraggio </w:t>
      </w:r>
      <w:r>
        <w:rPr>
          <w:rFonts w:ascii="Arial Narrow" w:eastAsia="Times New Roman" w:hAnsi="Arial Narrow" w:cs="Times New Roman"/>
          <w:i/>
          <w:iCs/>
          <w:color w:val="000000"/>
          <w:sz w:val="16"/>
          <w:szCs w:val="16"/>
          <w:lang w:eastAsia="it-IT"/>
        </w:rPr>
        <w:t>saldo di competenza 2016</w:t>
      </w:r>
    </w:p>
    <w:p w:rsidR="002C6655" w:rsidRDefault="002C6655" w:rsidP="00DA2581">
      <w:pPr>
        <w:spacing w:before="80" w:after="0" w:line="240" w:lineRule="auto"/>
        <w:jc w:val="center"/>
        <w:rPr>
          <w:rFonts w:ascii="Arial Narrow" w:eastAsia="Times New Roman" w:hAnsi="Arial Narrow" w:cs="Times New Roman"/>
          <w:i/>
          <w:iCs/>
          <w:color w:val="000000"/>
          <w:sz w:val="16"/>
          <w:szCs w:val="16"/>
          <w:lang w:eastAsia="it-IT"/>
        </w:rPr>
      </w:pPr>
    </w:p>
    <w:p w:rsidR="002C6655" w:rsidRDefault="002C6655" w:rsidP="00BF35ED">
      <w:pPr>
        <w:keepNext/>
        <w:keepLines/>
        <w:tabs>
          <w:tab w:val="left" w:pos="426"/>
        </w:tabs>
        <w:spacing w:after="120" w:line="259" w:lineRule="auto"/>
        <w:jc w:val="both"/>
        <w:rPr>
          <w:rFonts w:ascii="Book Antiqua" w:hAnsi="Book Antiqua"/>
        </w:rPr>
      </w:pPr>
      <w:r>
        <w:rPr>
          <w:rFonts w:ascii="Book Antiqua" w:hAnsi="Book Antiqua"/>
        </w:rPr>
        <w:t xml:space="preserve">L’articolazione triennale del surplus viene riportata nella figura seguente, anche per ripartizione territoriale. Nel complesso, il livello medio annuale previsto per gli investimenti fissi lordi dei </w:t>
      </w:r>
      <w:r w:rsidR="00AB13F6">
        <w:rPr>
          <w:rFonts w:ascii="Book Antiqua" w:hAnsi="Book Antiqua"/>
        </w:rPr>
        <w:t>C</w:t>
      </w:r>
      <w:r>
        <w:rPr>
          <w:rFonts w:ascii="Book Antiqua" w:hAnsi="Book Antiqua"/>
        </w:rPr>
        <w:t xml:space="preserve">omuni si colloca tra i 14 e i 15 </w:t>
      </w:r>
      <w:r w:rsidR="00AB13F6">
        <w:rPr>
          <w:rFonts w:ascii="Book Antiqua" w:hAnsi="Book Antiqua"/>
        </w:rPr>
        <w:t>miliardi</w:t>
      </w:r>
      <w:r>
        <w:rPr>
          <w:rFonts w:ascii="Book Antiqua" w:hAnsi="Book Antiqua"/>
        </w:rPr>
        <w:t xml:space="preserve"> di euro, a fronte di una base 2014 di 9,6 </w:t>
      </w:r>
      <w:r w:rsidR="00AB13F6">
        <w:rPr>
          <w:rFonts w:ascii="Book Antiqua" w:hAnsi="Book Antiqua"/>
        </w:rPr>
        <w:t>miliardi</w:t>
      </w:r>
      <w:r>
        <w:rPr>
          <w:rFonts w:ascii="Book Antiqua" w:hAnsi="Book Antiqua"/>
        </w:rPr>
        <w:t xml:space="preserve"> e sensibilmente al di sopra </w:t>
      </w:r>
      <w:r w:rsidR="00AB13F6">
        <w:rPr>
          <w:rFonts w:ascii="Book Antiqua" w:hAnsi="Book Antiqua"/>
        </w:rPr>
        <w:t>degli impegni assunti nel</w:t>
      </w:r>
      <w:r>
        <w:rPr>
          <w:rFonts w:ascii="Book Antiqua" w:hAnsi="Book Antiqua"/>
        </w:rPr>
        <w:t xml:space="preserve"> 2010 (12,5 </w:t>
      </w:r>
      <w:r w:rsidR="00AB13F6">
        <w:rPr>
          <w:rFonts w:ascii="Book Antiqua" w:hAnsi="Book Antiqua"/>
        </w:rPr>
        <w:t>miliardi</w:t>
      </w:r>
      <w:r>
        <w:rPr>
          <w:rFonts w:ascii="Book Antiqua" w:hAnsi="Book Antiqua"/>
        </w:rPr>
        <w:t>.)</w:t>
      </w:r>
    </w:p>
    <w:p w:rsidR="002C6655" w:rsidRPr="00F45059" w:rsidRDefault="002C6655" w:rsidP="00DA2581">
      <w:pPr>
        <w:spacing w:before="80" w:after="0" w:line="240" w:lineRule="auto"/>
        <w:jc w:val="center"/>
        <w:rPr>
          <w:rFonts w:ascii="Arial Narrow" w:eastAsia="Times New Roman" w:hAnsi="Arial Narrow" w:cs="Times New Roman"/>
          <w:i/>
          <w:iCs/>
          <w:color w:val="000000"/>
          <w:sz w:val="16"/>
          <w:szCs w:val="16"/>
          <w:lang w:eastAsia="it-IT"/>
        </w:rPr>
      </w:pPr>
    </w:p>
    <w:p w:rsidR="00DA2581" w:rsidRPr="000B51ED" w:rsidRDefault="00DA2581" w:rsidP="00DA2581">
      <w:pPr>
        <w:keepNext/>
        <w:spacing w:after="0" w:line="240" w:lineRule="auto"/>
        <w:jc w:val="center"/>
        <w:rPr>
          <w:rFonts w:ascii="Arial Narrow" w:eastAsia="Times New Roman" w:hAnsi="Arial Narrow" w:cs="Times New Roman"/>
          <w:bCs/>
          <w:i/>
          <w:iCs/>
          <w:caps/>
          <w:color w:val="000000"/>
          <w:sz w:val="20"/>
          <w:szCs w:val="18"/>
          <w:lang w:eastAsia="it-IT"/>
        </w:rPr>
      </w:pPr>
      <w:r w:rsidRPr="000B51ED">
        <w:rPr>
          <w:rFonts w:ascii="Arial Narrow" w:eastAsia="Times New Roman" w:hAnsi="Arial Narrow" w:cs="Times New Roman"/>
          <w:bCs/>
          <w:i/>
          <w:iCs/>
          <w:caps/>
          <w:color w:val="000000"/>
          <w:sz w:val="20"/>
          <w:szCs w:val="18"/>
          <w:lang w:eastAsia="it-IT"/>
        </w:rPr>
        <w:t>Surplus investimenti fissi lordi comunali</w:t>
      </w:r>
    </w:p>
    <w:p w:rsidR="00DA2581" w:rsidRDefault="006559AA" w:rsidP="00DA2581">
      <w:pPr>
        <w:keepNext/>
        <w:spacing w:after="0" w:line="240" w:lineRule="auto"/>
        <w:jc w:val="center"/>
        <w:rPr>
          <w:rFonts w:ascii="Arial Narrow" w:eastAsia="Times New Roman" w:hAnsi="Arial Narrow" w:cs="Times New Roman"/>
          <w:bCs/>
          <w:i/>
          <w:iCs/>
          <w:color w:val="000000"/>
          <w:sz w:val="20"/>
          <w:szCs w:val="18"/>
          <w:lang w:eastAsia="it-IT"/>
        </w:rPr>
      </w:pPr>
      <w:r>
        <w:rPr>
          <w:rFonts w:ascii="Arial Narrow" w:eastAsia="Times New Roman" w:hAnsi="Arial Narrow" w:cs="Times New Roman"/>
          <w:bCs/>
          <w:i/>
          <w:iCs/>
          <w:color w:val="000000"/>
          <w:sz w:val="20"/>
          <w:szCs w:val="18"/>
          <w:lang w:eastAsia="it-IT"/>
        </w:rPr>
        <w:t>Anni 2017-2019 con i</w:t>
      </w:r>
      <w:r w:rsidR="00DA2581" w:rsidRPr="006559AA">
        <w:rPr>
          <w:rFonts w:ascii="Arial Narrow" w:eastAsia="Times New Roman" w:hAnsi="Arial Narrow" w:cs="Times New Roman"/>
          <w:bCs/>
          <w:i/>
          <w:iCs/>
          <w:color w:val="000000"/>
          <w:sz w:val="20"/>
          <w:szCs w:val="18"/>
          <w:lang w:eastAsia="it-IT"/>
        </w:rPr>
        <w:t>ndice 2016 = 100</w:t>
      </w:r>
    </w:p>
    <w:p w:rsidR="006559AA" w:rsidRDefault="006559AA" w:rsidP="00DA2581">
      <w:pPr>
        <w:keepNext/>
        <w:spacing w:after="0" w:line="240" w:lineRule="auto"/>
        <w:jc w:val="center"/>
        <w:rPr>
          <w:rFonts w:ascii="Arial Narrow" w:eastAsia="Times New Roman" w:hAnsi="Arial Narrow" w:cs="Times New Roman"/>
          <w:bCs/>
          <w:i/>
          <w:iCs/>
          <w:color w:val="000000"/>
          <w:sz w:val="20"/>
          <w:szCs w:val="18"/>
          <w:lang w:eastAsia="it-IT"/>
        </w:rPr>
      </w:pPr>
    </w:p>
    <w:p w:rsidR="00DA2581" w:rsidRDefault="006A5550" w:rsidP="00DA2581">
      <w:pPr>
        <w:tabs>
          <w:tab w:val="left" w:pos="426"/>
        </w:tabs>
        <w:spacing w:after="0" w:line="240" w:lineRule="auto"/>
        <w:jc w:val="center"/>
        <w:rPr>
          <w:rFonts w:ascii="Book Antiqua" w:hAnsi="Book Antiqua"/>
        </w:rPr>
      </w:pPr>
      <w:r>
        <w:rPr>
          <w:rFonts w:ascii="Book Antiqua" w:hAnsi="Book Antiqua"/>
          <w:noProof/>
          <w:lang w:eastAsia="it-IT"/>
        </w:rPr>
        <w:drawing>
          <wp:inline distT="0" distB="0" distL="0" distR="0">
            <wp:extent cx="3600000" cy="1920320"/>
            <wp:effectExtent l="0" t="0" r="635"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0" cy="1920320"/>
                    </a:xfrm>
                    <a:prstGeom prst="rect">
                      <a:avLst/>
                    </a:prstGeom>
                    <a:noFill/>
                  </pic:spPr>
                </pic:pic>
              </a:graphicData>
            </a:graphic>
          </wp:inline>
        </w:drawing>
      </w:r>
    </w:p>
    <w:p w:rsidR="00DA2581" w:rsidRPr="00F45059" w:rsidRDefault="00DA2581" w:rsidP="00DA2581">
      <w:pPr>
        <w:spacing w:before="80" w:after="0" w:line="240" w:lineRule="auto"/>
        <w:jc w:val="center"/>
        <w:rPr>
          <w:rFonts w:ascii="Arial Narrow" w:eastAsia="Times New Roman" w:hAnsi="Arial Narrow" w:cs="Times New Roman"/>
          <w:i/>
          <w:iCs/>
          <w:color w:val="000000"/>
          <w:sz w:val="16"/>
          <w:szCs w:val="16"/>
          <w:lang w:eastAsia="it-IT"/>
        </w:rPr>
      </w:pPr>
      <w:r w:rsidRPr="00F45059">
        <w:rPr>
          <w:rFonts w:ascii="Arial Narrow" w:eastAsia="Times New Roman" w:hAnsi="Arial Narrow" w:cs="Times New Roman"/>
          <w:i/>
          <w:iCs/>
          <w:color w:val="000000"/>
          <w:sz w:val="16"/>
          <w:szCs w:val="16"/>
          <w:lang w:eastAsia="it-IT"/>
        </w:rPr>
        <w:t xml:space="preserve">Fonte: stima IFEL su dati </w:t>
      </w:r>
      <w:r>
        <w:rPr>
          <w:rFonts w:ascii="Arial Narrow" w:eastAsia="Times New Roman" w:hAnsi="Arial Narrow" w:cs="Times New Roman"/>
          <w:i/>
          <w:iCs/>
          <w:color w:val="000000"/>
          <w:sz w:val="16"/>
          <w:szCs w:val="16"/>
          <w:lang w:eastAsia="it-IT"/>
        </w:rPr>
        <w:t xml:space="preserve">CCCB </w:t>
      </w:r>
      <w:r w:rsidRPr="00F45059">
        <w:rPr>
          <w:rFonts w:ascii="Arial Narrow" w:eastAsia="Times New Roman" w:hAnsi="Arial Narrow" w:cs="Times New Roman"/>
          <w:i/>
          <w:iCs/>
          <w:color w:val="000000"/>
          <w:sz w:val="16"/>
          <w:szCs w:val="16"/>
          <w:lang w:eastAsia="it-IT"/>
        </w:rPr>
        <w:t xml:space="preserve">e monitoraggio </w:t>
      </w:r>
      <w:r>
        <w:rPr>
          <w:rFonts w:ascii="Arial Narrow" w:eastAsia="Times New Roman" w:hAnsi="Arial Narrow" w:cs="Times New Roman"/>
          <w:i/>
          <w:iCs/>
          <w:color w:val="000000"/>
          <w:sz w:val="16"/>
          <w:szCs w:val="16"/>
          <w:lang w:eastAsia="it-IT"/>
        </w:rPr>
        <w:t>saldo di competenza 2016</w:t>
      </w:r>
    </w:p>
    <w:p w:rsidR="00DA2581" w:rsidRDefault="00DA2581" w:rsidP="00DA2581">
      <w:pPr>
        <w:rPr>
          <w:rFonts w:ascii="Book Antiqua" w:hAnsi="Book Antiqua"/>
        </w:rPr>
      </w:pPr>
    </w:p>
    <w:p w:rsidR="00DA2581" w:rsidRDefault="00DA2581" w:rsidP="002C6655">
      <w:pPr>
        <w:jc w:val="both"/>
        <w:rPr>
          <w:rFonts w:ascii="Book Antiqua" w:hAnsi="Book Antiqua"/>
        </w:rPr>
      </w:pPr>
      <w:r>
        <w:rPr>
          <w:rFonts w:ascii="Book Antiqua" w:hAnsi="Book Antiqua"/>
        </w:rPr>
        <w:t xml:space="preserve">Anche ai fini del sostegno agli investimenti va ripensato il sistema del debito comunale ed è urgente un intervento per limitarne i costi. Ampie fasce di enti, in assenza di strumenti di sostituzione o ristrutturazione del debito contratto in anni di alti tassi di interesse, non dispongono delle risorse necessarie per attivare il livello di investimento cui potrebbero aspirare. Potrebbero </w:t>
      </w:r>
      <w:r>
        <w:rPr>
          <w:rFonts w:ascii="Book Antiqua" w:hAnsi="Book Antiqua"/>
        </w:rPr>
        <w:lastRenderedPageBreak/>
        <w:t>così liberarsi utili risorse a sostegno della progettazione comunale, che tarda ad essere riconosciuta e valorizzata dal legislatore quale fase indispensabile e qualificante per un robusto, sostenibile e duraturo rilanc</w:t>
      </w:r>
      <w:r w:rsidR="00EF20B0">
        <w:rPr>
          <w:rFonts w:ascii="Book Antiqua" w:hAnsi="Book Antiqua"/>
        </w:rPr>
        <w:t>io degli investimenti comunali.</w:t>
      </w:r>
    </w:p>
    <w:p w:rsidR="00DA2581" w:rsidRDefault="00DA2581" w:rsidP="002C6655">
      <w:pPr>
        <w:tabs>
          <w:tab w:val="left" w:pos="426"/>
        </w:tabs>
        <w:spacing w:after="120" w:line="259" w:lineRule="auto"/>
        <w:jc w:val="both"/>
        <w:rPr>
          <w:rFonts w:ascii="Book Antiqua" w:hAnsi="Book Antiqua"/>
        </w:rPr>
      </w:pPr>
      <w:r>
        <w:rPr>
          <w:rFonts w:ascii="Book Antiqua" w:hAnsi="Book Antiqua"/>
        </w:rPr>
        <w:t>Rimangono tuttavia immutate le aspettative di rilancio degli investimenti pubblici locali quale condizione necessaria per consolidare la ripresa economica generale e per corrispondere alle esigenze di maggiori margini di flessibilità nelle politiche di bilancio, formulate dall’Italia in sede europea.</w:t>
      </w:r>
    </w:p>
    <w:p w:rsidR="00A77CC1" w:rsidRDefault="00A77CC1" w:rsidP="009067AE">
      <w:pPr>
        <w:spacing w:after="0" w:line="259" w:lineRule="auto"/>
        <w:jc w:val="both"/>
        <w:rPr>
          <w:rFonts w:ascii="Bookman Old Style" w:hAnsi="Bookman Old Style"/>
        </w:rPr>
      </w:pPr>
    </w:p>
    <w:p w:rsidR="00A77CC1" w:rsidRPr="00A77CC1" w:rsidRDefault="00A77CC1" w:rsidP="00A77CC1">
      <w:pPr>
        <w:pStyle w:val="Titolo2"/>
        <w:rPr>
          <w:i/>
        </w:rPr>
      </w:pPr>
      <w:bookmarkStart w:id="5" w:name="_Toc480289414"/>
      <w:r>
        <w:t>Il raggiungimento degli obiettivi di saldo di competenza e l’</w:t>
      </w:r>
      <w:r>
        <w:rPr>
          <w:i/>
        </w:rPr>
        <w:t>overshooting</w:t>
      </w:r>
      <w:bookmarkEnd w:id="5"/>
    </w:p>
    <w:p w:rsidR="00AC5151" w:rsidRDefault="002C6655" w:rsidP="0036040D">
      <w:pPr>
        <w:spacing w:after="120" w:line="259" w:lineRule="auto"/>
        <w:jc w:val="both"/>
        <w:rPr>
          <w:rFonts w:ascii="Bookman Old Style" w:hAnsi="Bookman Old Style"/>
        </w:rPr>
      </w:pPr>
      <w:r>
        <w:rPr>
          <w:rFonts w:ascii="Bookman Old Style" w:hAnsi="Bookman Old Style"/>
        </w:rPr>
        <w:t xml:space="preserve">I dati di monitoraggio del saldo </w:t>
      </w:r>
      <w:r w:rsidR="000B51ED">
        <w:rPr>
          <w:rFonts w:ascii="Bookman Old Style" w:hAnsi="Bookman Old Style"/>
        </w:rPr>
        <w:t xml:space="preserve">finale </w:t>
      </w:r>
      <w:r>
        <w:rPr>
          <w:rFonts w:ascii="Bookman Old Style" w:hAnsi="Bookman Old Style"/>
        </w:rPr>
        <w:t>di competenza 2016 forniscono l</w:t>
      </w:r>
      <w:r w:rsidR="00616A56">
        <w:rPr>
          <w:rFonts w:ascii="Bookman Old Style" w:hAnsi="Bookman Old Style"/>
        </w:rPr>
        <w:t>e informazioni utili a valutare</w:t>
      </w:r>
      <w:r>
        <w:rPr>
          <w:rFonts w:ascii="Bookman Old Style" w:hAnsi="Bookman Old Style"/>
        </w:rPr>
        <w:t xml:space="preserve"> il rispetto </w:t>
      </w:r>
      <w:r w:rsidR="00616A56">
        <w:rPr>
          <w:rFonts w:ascii="Bookman Old Style" w:hAnsi="Bookman Old Style"/>
        </w:rPr>
        <w:t>degli obblighi di finanza pubblica assegnati a ciascun ente, ma anche</w:t>
      </w:r>
      <w:r>
        <w:rPr>
          <w:rFonts w:ascii="Bookman Old Style" w:hAnsi="Bookman Old Style"/>
        </w:rPr>
        <w:t xml:space="preserve"> per dimensionare l’andamento del fenomeno </w:t>
      </w:r>
      <w:r w:rsidR="000B51ED">
        <w:rPr>
          <w:rFonts w:ascii="Bookman Old Style" w:hAnsi="Bookman Old Style"/>
        </w:rPr>
        <w:t>noto come</w:t>
      </w:r>
      <w:r w:rsidR="00616A56">
        <w:rPr>
          <w:rFonts w:ascii="Bookman Old Style" w:hAnsi="Bookman Old Style"/>
        </w:rPr>
        <w:t xml:space="preserve"> </w:t>
      </w:r>
      <w:r w:rsidR="00616A56">
        <w:rPr>
          <w:rFonts w:ascii="Bookman Old Style" w:hAnsi="Bookman Old Style"/>
          <w:i/>
        </w:rPr>
        <w:t>overshooting</w:t>
      </w:r>
      <w:r w:rsidR="00616A56">
        <w:rPr>
          <w:rFonts w:ascii="Bookman Old Style" w:hAnsi="Bookman Old Style"/>
        </w:rPr>
        <w:t xml:space="preserve">, vale a dire il margine finanziario </w:t>
      </w:r>
      <w:r w:rsidR="000B51ED">
        <w:rPr>
          <w:rFonts w:ascii="Bookman Old Style" w:hAnsi="Bookman Old Style"/>
        </w:rPr>
        <w:t xml:space="preserve">rimasto </w:t>
      </w:r>
      <w:r w:rsidR="00616A56">
        <w:rPr>
          <w:rFonts w:ascii="Bookman Old Style" w:hAnsi="Bookman Old Style"/>
        </w:rPr>
        <w:t>inutilizzato rispetto all’</w:t>
      </w:r>
      <w:r>
        <w:rPr>
          <w:rFonts w:ascii="Bookman Old Style" w:hAnsi="Bookman Old Style"/>
        </w:rPr>
        <w:t>obiettivo finanziario</w:t>
      </w:r>
      <w:r w:rsidR="00616A56">
        <w:rPr>
          <w:rFonts w:ascii="Bookman Old Style" w:hAnsi="Bookman Old Style"/>
        </w:rPr>
        <w:t xml:space="preserve"> assegnato al singolo Comune</w:t>
      </w:r>
      <w:r>
        <w:rPr>
          <w:rFonts w:ascii="Bookman Old Style" w:hAnsi="Bookman Old Style"/>
        </w:rPr>
        <w:t>.</w:t>
      </w:r>
    </w:p>
    <w:p w:rsidR="002C6655" w:rsidRDefault="002C6655" w:rsidP="0036040D">
      <w:pPr>
        <w:spacing w:after="120" w:line="259" w:lineRule="auto"/>
        <w:jc w:val="both"/>
        <w:rPr>
          <w:rFonts w:ascii="Bookman Old Style" w:hAnsi="Bookman Old Style"/>
        </w:rPr>
      </w:pPr>
      <w:r>
        <w:rPr>
          <w:rFonts w:ascii="Bookman Old Style" w:hAnsi="Bookman Old Style"/>
        </w:rPr>
        <w:t>I cambiamenti delle regole finanziarie degli ultimi anni rendono necessaria un’attenzione particolare nell’omogeneizzazione dei dati di confronto, al fine di evitare conclusioni affrettate e fuorvianti.</w:t>
      </w:r>
      <w:r w:rsidR="00616A56">
        <w:rPr>
          <w:rFonts w:ascii="Bookman Old Style" w:hAnsi="Bookman Old Style"/>
        </w:rPr>
        <w:t xml:space="preserve"> Muovendo da questo presupposto, l</w:t>
      </w:r>
      <w:r>
        <w:rPr>
          <w:rFonts w:ascii="Bookman Old Style" w:hAnsi="Bookman Old Style"/>
        </w:rPr>
        <w:t xml:space="preserve">a tabella seguente riporta le principali grandezze acquisite con i </w:t>
      </w:r>
      <w:r w:rsidR="00616A56">
        <w:rPr>
          <w:rFonts w:ascii="Bookman Old Style" w:hAnsi="Bookman Old Style"/>
        </w:rPr>
        <w:t xml:space="preserve">monitoraggi del </w:t>
      </w:r>
      <w:r w:rsidR="000B51ED">
        <w:rPr>
          <w:rFonts w:ascii="Bookman Old Style" w:hAnsi="Bookman Old Style"/>
        </w:rPr>
        <w:t>biennio 2015-</w:t>
      </w:r>
      <w:r w:rsidR="00616A56">
        <w:rPr>
          <w:rFonts w:ascii="Bookman Old Style" w:hAnsi="Bookman Old Style"/>
        </w:rPr>
        <w:t xml:space="preserve">2016, </w:t>
      </w:r>
      <w:r w:rsidR="000B51ED">
        <w:rPr>
          <w:rFonts w:ascii="Bookman Old Style" w:hAnsi="Bookman Old Style"/>
        </w:rPr>
        <w:t>sistemate secondo uno schema</w:t>
      </w:r>
      <w:r>
        <w:rPr>
          <w:rFonts w:ascii="Bookman Old Style" w:hAnsi="Bookman Old Style"/>
        </w:rPr>
        <w:t xml:space="preserve"> </w:t>
      </w:r>
      <w:r w:rsidR="000B51ED">
        <w:rPr>
          <w:rFonts w:ascii="Bookman Old Style" w:hAnsi="Bookman Old Style"/>
        </w:rPr>
        <w:t>che consente di operare</w:t>
      </w:r>
      <w:r>
        <w:rPr>
          <w:rFonts w:ascii="Bookman Old Style" w:hAnsi="Bookman Old Style"/>
        </w:rPr>
        <w:t xml:space="preserve"> un confronto omogeneo</w:t>
      </w:r>
      <w:r w:rsidR="000B51ED">
        <w:rPr>
          <w:rFonts w:ascii="Bookman Old Style" w:hAnsi="Bookman Old Style"/>
        </w:rPr>
        <w:t>.</w:t>
      </w:r>
    </w:p>
    <w:p w:rsidR="00736CB1" w:rsidRPr="00736CB1" w:rsidRDefault="00736CB1" w:rsidP="009067AE">
      <w:pPr>
        <w:tabs>
          <w:tab w:val="left" w:pos="8175"/>
        </w:tabs>
        <w:spacing w:after="0" w:line="240" w:lineRule="auto"/>
        <w:jc w:val="center"/>
        <w:rPr>
          <w:rFonts w:ascii="Bookman Old Style" w:hAnsi="Bookman Old Style"/>
          <w:sz w:val="20"/>
        </w:rPr>
      </w:pPr>
    </w:p>
    <w:p w:rsidR="00736CB1" w:rsidRPr="00736CB1" w:rsidRDefault="00736CB1" w:rsidP="00736CB1">
      <w:pPr>
        <w:spacing w:after="0" w:line="240" w:lineRule="auto"/>
        <w:jc w:val="center"/>
        <w:rPr>
          <w:rFonts w:ascii="Arial Narrow" w:hAnsi="Arial Narrow"/>
          <w:i/>
          <w:caps/>
        </w:rPr>
      </w:pPr>
      <w:r w:rsidRPr="00736CB1">
        <w:rPr>
          <w:rFonts w:ascii="Arial Narrow" w:hAnsi="Arial Narrow"/>
          <w:i/>
          <w:caps/>
        </w:rPr>
        <w:t>Risultati del saldo di finanza pubblica</w:t>
      </w:r>
    </w:p>
    <w:p w:rsidR="00736CB1" w:rsidRPr="00736CB1" w:rsidRDefault="00736CB1" w:rsidP="00736CB1">
      <w:pPr>
        <w:spacing w:after="0" w:line="240" w:lineRule="auto"/>
        <w:jc w:val="center"/>
        <w:rPr>
          <w:rFonts w:ascii="Arial Narrow" w:hAnsi="Arial Narrow"/>
          <w:i/>
        </w:rPr>
      </w:pPr>
      <w:r>
        <w:rPr>
          <w:rFonts w:ascii="Arial Narrow" w:hAnsi="Arial Narrow"/>
          <w:i/>
        </w:rPr>
        <w:t>Confronto 2015-2016 per i Comuni con oltre 1.000 abitanti. Valori in migliaia di euro</w:t>
      </w:r>
    </w:p>
    <w:p w:rsidR="00736CB1" w:rsidRPr="00A804CA" w:rsidRDefault="00736CB1" w:rsidP="00736CB1">
      <w:pPr>
        <w:spacing w:after="0" w:line="240" w:lineRule="auto"/>
        <w:jc w:val="center"/>
        <w:rPr>
          <w:rFonts w:ascii="Bookman Old Style" w:hAnsi="Bookman Old Style"/>
          <w:sz w:val="16"/>
        </w:rPr>
      </w:pPr>
    </w:p>
    <w:p w:rsidR="002C6655" w:rsidRDefault="00A804CA" w:rsidP="009067AE">
      <w:pPr>
        <w:spacing w:after="0" w:line="240" w:lineRule="auto"/>
        <w:jc w:val="center"/>
        <w:rPr>
          <w:rFonts w:ascii="Bookman Old Style" w:hAnsi="Bookman Old Style"/>
        </w:rPr>
      </w:pPr>
      <w:r w:rsidRPr="00A804CA">
        <w:rPr>
          <w:noProof/>
          <w:lang w:eastAsia="it-IT"/>
        </w:rPr>
        <w:drawing>
          <wp:inline distT="0" distB="0" distL="0" distR="0">
            <wp:extent cx="6012000" cy="3416022"/>
            <wp:effectExtent l="0" t="0" r="825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000" cy="3416022"/>
                    </a:xfrm>
                    <a:prstGeom prst="rect">
                      <a:avLst/>
                    </a:prstGeom>
                    <a:noFill/>
                    <a:ln>
                      <a:noFill/>
                    </a:ln>
                  </pic:spPr>
                </pic:pic>
              </a:graphicData>
            </a:graphic>
          </wp:inline>
        </w:drawing>
      </w:r>
    </w:p>
    <w:p w:rsidR="00736CB1" w:rsidRPr="00736CB1" w:rsidRDefault="00D73915" w:rsidP="00D73915">
      <w:pPr>
        <w:spacing w:before="60" w:after="0" w:line="240" w:lineRule="auto"/>
        <w:ind w:left="142"/>
        <w:rPr>
          <w:rFonts w:ascii="Arial Narrow" w:hAnsi="Arial Narrow"/>
          <w:i/>
          <w:sz w:val="16"/>
        </w:rPr>
      </w:pPr>
      <w:r>
        <w:rPr>
          <w:rFonts w:ascii="Arial Narrow" w:hAnsi="Arial Narrow"/>
          <w:i/>
          <w:sz w:val="16"/>
        </w:rPr>
        <w:t xml:space="preserve"> </w:t>
      </w:r>
      <w:r w:rsidR="00736CB1" w:rsidRPr="00736CB1">
        <w:rPr>
          <w:rFonts w:ascii="Arial Narrow" w:hAnsi="Arial Narrow"/>
          <w:i/>
          <w:sz w:val="16"/>
        </w:rPr>
        <w:t>Fonte: elaborazioni IFEL su dati RGS</w:t>
      </w:r>
    </w:p>
    <w:p w:rsidR="00D73915" w:rsidRDefault="00D73915" w:rsidP="00B27DDF">
      <w:pPr>
        <w:spacing w:after="120" w:line="259" w:lineRule="auto"/>
        <w:jc w:val="both"/>
        <w:rPr>
          <w:rFonts w:ascii="Bookman Old Style" w:hAnsi="Bookman Old Style"/>
        </w:rPr>
      </w:pPr>
    </w:p>
    <w:p w:rsidR="00AC752B" w:rsidRDefault="00A804CA" w:rsidP="00B27DDF">
      <w:pPr>
        <w:spacing w:after="120" w:line="259" w:lineRule="auto"/>
        <w:jc w:val="both"/>
        <w:rPr>
          <w:rFonts w:ascii="Bookman Old Style" w:hAnsi="Bookman Old Style"/>
        </w:rPr>
      </w:pPr>
      <w:r>
        <w:rPr>
          <w:rFonts w:ascii="Bookman Old Style" w:hAnsi="Bookman Old Style"/>
        </w:rPr>
        <w:t xml:space="preserve">Preme in particolare evidenziare che </w:t>
      </w:r>
      <w:r w:rsidRPr="00C27437">
        <w:rPr>
          <w:rFonts w:ascii="Bookman Old Style" w:hAnsi="Bookman Old Style"/>
        </w:rPr>
        <w:t>l’</w:t>
      </w:r>
      <w:r w:rsidRPr="00C27437">
        <w:rPr>
          <w:rFonts w:ascii="Bookman Old Style" w:hAnsi="Bookman Old Style"/>
          <w:i/>
        </w:rPr>
        <w:t>overshooting</w:t>
      </w:r>
      <w:r>
        <w:rPr>
          <w:rFonts w:ascii="Bookman Old Style" w:hAnsi="Bookman Old Style"/>
        </w:rPr>
        <w:t xml:space="preserve"> fatto registrare dal comparto nel 2016, se opportunamente misurato mediante un metodo in grado di operare un confronto corretto con le regole previste nel 2015, assume un valore inferiore rispetto all’anno precedente</w:t>
      </w:r>
      <w:r w:rsidR="00AC752B">
        <w:rPr>
          <w:rFonts w:ascii="Bookman Old Style" w:hAnsi="Bookman Old Style"/>
        </w:rPr>
        <w:t>: dai 3 mld. del 2015 ai 2,2 mld. del 2016</w:t>
      </w:r>
      <w:r>
        <w:rPr>
          <w:rFonts w:ascii="Bookman Old Style" w:hAnsi="Bookman Old Style"/>
        </w:rPr>
        <w:t xml:space="preserve"> (-26%, </w:t>
      </w:r>
      <w:r w:rsidR="00AC752B">
        <w:rPr>
          <w:rFonts w:ascii="Bookman Old Style" w:hAnsi="Bookman Old Style"/>
        </w:rPr>
        <w:t>ved. riga 5 della tabella)</w:t>
      </w:r>
      <w:r>
        <w:rPr>
          <w:rFonts w:ascii="Bookman Old Style" w:hAnsi="Bookman Old Style"/>
        </w:rPr>
        <w:t xml:space="preserve">. </w:t>
      </w:r>
    </w:p>
    <w:p w:rsidR="00B27DDF" w:rsidRDefault="00A804CA" w:rsidP="00B27DDF">
      <w:pPr>
        <w:spacing w:after="120" w:line="259" w:lineRule="auto"/>
        <w:jc w:val="both"/>
        <w:rPr>
          <w:rFonts w:ascii="Bookman Old Style" w:hAnsi="Bookman Old Style"/>
        </w:rPr>
      </w:pPr>
      <w:r>
        <w:rPr>
          <w:rFonts w:ascii="Bookman Old Style" w:hAnsi="Bookman Old Style"/>
        </w:rPr>
        <w:t>Da una mera applicazione delle regole formalmente vigenti nel 2016, invece, l’</w:t>
      </w:r>
      <w:r w:rsidRPr="00AC752B">
        <w:rPr>
          <w:rFonts w:ascii="Bookman Old Style" w:hAnsi="Bookman Old Style"/>
          <w:i/>
        </w:rPr>
        <w:t>overshooting</w:t>
      </w:r>
      <w:r>
        <w:rPr>
          <w:rFonts w:ascii="Bookman Old Style" w:hAnsi="Bookman Old Style"/>
        </w:rPr>
        <w:t xml:space="preserve"> dei Comuni si attesterebbe sui 6 miliardi di euro, pressoché raddoppiandosi rispetto al 2015.</w:t>
      </w:r>
      <w:r w:rsidR="00AC752B">
        <w:rPr>
          <w:rFonts w:ascii="Bookman Old Style" w:hAnsi="Bookman Old Style"/>
        </w:rPr>
        <w:t xml:space="preserve"> Questa quantificazione appare invece del tutto fuorviante perché include tra le entrate di riferimento l’intero ammontare degli accantonamenti a FCDE e a altri fondi rischi, per ben 3,5 mld. di euro. </w:t>
      </w:r>
    </w:p>
    <w:p w:rsidR="00764564" w:rsidRDefault="008310E2" w:rsidP="00B27DDF">
      <w:pPr>
        <w:spacing w:after="120" w:line="259" w:lineRule="auto"/>
        <w:jc w:val="both"/>
        <w:rPr>
          <w:rFonts w:ascii="Bookman Old Style" w:hAnsi="Bookman Old Style"/>
        </w:rPr>
      </w:pPr>
      <w:r>
        <w:rPr>
          <w:rFonts w:ascii="Bookman Old Style" w:hAnsi="Bookman Old Style"/>
        </w:rPr>
        <w:t>La dimensione dell’</w:t>
      </w:r>
      <w:r>
        <w:rPr>
          <w:rFonts w:ascii="Bookman Old Style" w:hAnsi="Bookman Old Style"/>
          <w:i/>
        </w:rPr>
        <w:t>overshooting</w:t>
      </w:r>
      <w:r>
        <w:rPr>
          <w:rFonts w:ascii="Bookman Old Style" w:hAnsi="Bookman Old Style"/>
        </w:rPr>
        <w:t xml:space="preserve"> appare in via di riduzione anche con riferimento a quanto osservato negli ultimi anni del Patto di stabilità (2013-2015), quando gli avanzi in eccesso realizzati dai Comuni si attestavano sui 1.</w:t>
      </w:r>
      <w:r w:rsidR="001B2E5E">
        <w:rPr>
          <w:rFonts w:ascii="Bookman Old Style" w:hAnsi="Bookman Old Style"/>
        </w:rPr>
        <w:t>6</w:t>
      </w:r>
      <w:r>
        <w:rPr>
          <w:rFonts w:ascii="Bookman Old Style" w:hAnsi="Bookman Old Style"/>
        </w:rPr>
        <w:t>00 milioni di euro. Al fine di comparare in modo corretto tale valore con i</w:t>
      </w:r>
      <w:r w:rsidR="00764564">
        <w:rPr>
          <w:rFonts w:ascii="Bookman Old Style" w:hAnsi="Bookman Old Style"/>
        </w:rPr>
        <w:t xml:space="preserve"> risultati 2015-2016, anni</w:t>
      </w:r>
      <w:r>
        <w:rPr>
          <w:rFonts w:ascii="Bookman Old Style" w:hAnsi="Bookman Old Style"/>
        </w:rPr>
        <w:t xml:space="preserve"> di avvio della nuova contabilità, va depurato il ruolo del Fondo pluriennale vincolato di parte corrente</w:t>
      </w:r>
      <w:r w:rsidR="00AC752B">
        <w:rPr>
          <w:rFonts w:ascii="Bookman Old Style" w:hAnsi="Bookman Old Style"/>
        </w:rPr>
        <w:t>.</w:t>
      </w:r>
      <w:r w:rsidR="00764564">
        <w:rPr>
          <w:rFonts w:ascii="Bookman Old Style" w:hAnsi="Bookman Old Style"/>
        </w:rPr>
        <w:t xml:space="preserve"> </w:t>
      </w:r>
      <w:r w:rsidR="00AC752B">
        <w:rPr>
          <w:rFonts w:ascii="Bookman Old Style" w:hAnsi="Bookman Old Style"/>
        </w:rPr>
        <w:t xml:space="preserve">Il saldo del FPV corrente </w:t>
      </w:r>
      <w:r w:rsidR="00A95DCC">
        <w:rPr>
          <w:rFonts w:ascii="Bookman Old Style" w:hAnsi="Bookman Old Style"/>
        </w:rPr>
        <w:t xml:space="preserve">(FPV in entrata </w:t>
      </w:r>
      <w:r w:rsidR="00764564" w:rsidRPr="00764564">
        <w:rPr>
          <w:rFonts w:ascii="Bookman Old Style" w:hAnsi="Bookman Old Style"/>
          <w:i/>
        </w:rPr>
        <w:t>meno</w:t>
      </w:r>
      <w:r w:rsidR="00764564">
        <w:rPr>
          <w:rFonts w:ascii="Bookman Old Style" w:hAnsi="Bookman Old Style"/>
        </w:rPr>
        <w:t xml:space="preserve"> FPV in spesa)</w:t>
      </w:r>
      <w:r>
        <w:rPr>
          <w:rFonts w:ascii="Bookman Old Style" w:hAnsi="Bookman Old Style"/>
        </w:rPr>
        <w:t xml:space="preserve"> </w:t>
      </w:r>
      <w:r w:rsidR="00764564">
        <w:rPr>
          <w:rFonts w:ascii="Bookman Old Style" w:hAnsi="Bookman Old Style"/>
        </w:rPr>
        <w:t>non costituisce oggi un effettivo maggior potenziale di entrata</w:t>
      </w:r>
      <w:r w:rsidR="00AC752B">
        <w:rPr>
          <w:rFonts w:ascii="Bookman Old Style" w:hAnsi="Bookman Old Style"/>
        </w:rPr>
        <w:t xml:space="preserve"> dei Comuni</w:t>
      </w:r>
      <w:r w:rsidR="00764564">
        <w:rPr>
          <w:rFonts w:ascii="Bookman Old Style" w:hAnsi="Bookman Old Style"/>
        </w:rPr>
        <w:t>, ma deriva dalla pregressa gestione del bilancio corrente di competenza e dalla fisiolo</w:t>
      </w:r>
      <w:r w:rsidR="00AC752B">
        <w:rPr>
          <w:rFonts w:ascii="Bookman Old Style" w:hAnsi="Bookman Old Style"/>
        </w:rPr>
        <w:t>gico percorso di riordino della gestione dei residui di parte corrente indotto dalla nuova contabilità. Riducendo il risultato osservato anche dell’ammontare del saldo del FPV corrente, la dimensione dell’</w:t>
      </w:r>
      <w:r w:rsidR="00AC752B">
        <w:rPr>
          <w:rFonts w:ascii="Bookman Old Style" w:hAnsi="Bookman Old Style"/>
          <w:i/>
        </w:rPr>
        <w:t xml:space="preserve">overshooting </w:t>
      </w:r>
      <w:r w:rsidR="00AC752B" w:rsidRPr="00A95DCC">
        <w:rPr>
          <w:rFonts w:ascii="Bookman Old Style" w:hAnsi="Bookman Old Style"/>
        </w:rPr>
        <w:t xml:space="preserve">si attesta </w:t>
      </w:r>
      <w:r w:rsidR="00A95DCC">
        <w:rPr>
          <w:rFonts w:ascii="Bookman Old Style" w:hAnsi="Bookman Old Style"/>
        </w:rPr>
        <w:t xml:space="preserve">tra i </w:t>
      </w:r>
      <w:r w:rsidR="00AC752B" w:rsidRPr="00A95DCC">
        <w:rPr>
          <w:rFonts w:ascii="Bookman Old Style" w:hAnsi="Bookman Old Style"/>
        </w:rPr>
        <w:t xml:space="preserve">1.300 </w:t>
      </w:r>
      <w:r w:rsidR="00A95DCC">
        <w:rPr>
          <w:rFonts w:ascii="Bookman Old Style" w:hAnsi="Bookman Old Style"/>
        </w:rPr>
        <w:t xml:space="preserve">e il 1.400 </w:t>
      </w:r>
      <w:r w:rsidR="00BE1F8D">
        <w:rPr>
          <w:rFonts w:ascii="Bookman Old Style" w:hAnsi="Bookman Old Style"/>
        </w:rPr>
        <w:t xml:space="preserve">mln. di </w:t>
      </w:r>
      <w:r w:rsidR="00AC752B" w:rsidRPr="00A95DCC">
        <w:rPr>
          <w:rFonts w:ascii="Bookman Old Style" w:hAnsi="Bookman Old Style"/>
        </w:rPr>
        <w:t xml:space="preserve">euro, </w:t>
      </w:r>
      <w:r w:rsidR="00A95DCC">
        <w:rPr>
          <w:rFonts w:ascii="Bookman Old Style" w:hAnsi="Bookman Old Style"/>
        </w:rPr>
        <w:t>dimensione comunque considerevole, ma in riduzione rispetto ai risultati di patto (riga 7</w:t>
      </w:r>
      <w:r w:rsidR="001B2E5E">
        <w:rPr>
          <w:rFonts w:ascii="Bookman Old Style" w:hAnsi="Bookman Old Style"/>
        </w:rPr>
        <w:t>, cfr. figura seguente</w:t>
      </w:r>
      <w:r w:rsidR="00A95DCC">
        <w:rPr>
          <w:rFonts w:ascii="Bookman Old Style" w:hAnsi="Bookman Old Style"/>
        </w:rPr>
        <w:t>).</w:t>
      </w:r>
      <w:r w:rsidR="00AC752B">
        <w:rPr>
          <w:rFonts w:ascii="Bookman Old Style" w:hAnsi="Bookman Old Style"/>
        </w:rPr>
        <w:t xml:space="preserve"> </w:t>
      </w:r>
    </w:p>
    <w:p w:rsidR="001B2E5E" w:rsidRDefault="001B2E5E" w:rsidP="00B27DDF">
      <w:pPr>
        <w:spacing w:after="120" w:line="259" w:lineRule="auto"/>
        <w:jc w:val="both"/>
        <w:rPr>
          <w:rFonts w:ascii="Bookman Old Style" w:hAnsi="Bookman Old Style"/>
        </w:rPr>
      </w:pPr>
    </w:p>
    <w:p w:rsidR="001B2E5E" w:rsidRDefault="001B2E5E" w:rsidP="002D600D">
      <w:pPr>
        <w:spacing w:after="120" w:line="259" w:lineRule="auto"/>
        <w:jc w:val="right"/>
        <w:rPr>
          <w:rFonts w:ascii="Bookman Old Style" w:hAnsi="Bookman Old Style"/>
        </w:rPr>
      </w:pPr>
      <w:r w:rsidRPr="001B2E5E">
        <w:rPr>
          <w:rFonts w:ascii="Bookman Old Style" w:hAnsi="Bookman Old Style"/>
          <w:noProof/>
          <w:lang w:eastAsia="it-IT"/>
        </w:rPr>
        <w:drawing>
          <wp:inline distT="0" distB="0" distL="0" distR="0">
            <wp:extent cx="5508000" cy="2446547"/>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5" cstate="print"/>
                    <a:stretch>
                      <a:fillRect/>
                    </a:stretch>
                  </pic:blipFill>
                  <pic:spPr>
                    <a:xfrm>
                      <a:off x="0" y="0"/>
                      <a:ext cx="5508000" cy="2446547"/>
                    </a:xfrm>
                    <a:prstGeom prst="rect">
                      <a:avLst/>
                    </a:prstGeom>
                  </pic:spPr>
                </pic:pic>
              </a:graphicData>
            </a:graphic>
          </wp:inline>
        </w:drawing>
      </w:r>
    </w:p>
    <w:p w:rsidR="00AC752B" w:rsidRDefault="00AC752B" w:rsidP="00AC752B">
      <w:pPr>
        <w:spacing w:after="120" w:line="259" w:lineRule="auto"/>
        <w:jc w:val="both"/>
        <w:rPr>
          <w:rFonts w:ascii="Bookman Old Style" w:hAnsi="Bookman Old Style"/>
        </w:rPr>
      </w:pPr>
      <w:r>
        <w:rPr>
          <w:rFonts w:ascii="Bookman Old Style" w:hAnsi="Bookman Old Style"/>
        </w:rPr>
        <w:t xml:space="preserve">Al fine di favorire una corretta interpretazione del fenomeno in questione, va messo in luce che, per le ragioni più volte esposte nel presente documento, gli spazi finanziari aggiuntivi teoricamente resi disponibili con l’esclusione degli accantonamenti FCDE e Fondi rischi dalla formula del pareggio non sono stati utilizzati dai Comuni interessati per molteplici ed ovvie ragioni. In molti casi si tratta della mancata disponibilità di avanzi applicabili a favore di spese per investimenti, in altri della difficoltà di riprogrammare in </w:t>
      </w:r>
      <w:r>
        <w:rPr>
          <w:rFonts w:ascii="Bookman Old Style" w:hAnsi="Bookman Old Style"/>
        </w:rPr>
        <w:lastRenderedPageBreak/>
        <w:t xml:space="preserve">corso d’anno impieghi basati su progetti di intervento complessi (e resi ancor più difficili dalle nuove regole degli appalti avviate in primavera 2016), nel contesto più volte richiamato di tardiva stabilizzazione delle regole finanziarie, dalla revisione della legge 243 all’inclusione del FPV nella formula del pareggio. Il rischio di non poter contare sulle risorse accantonate in FPV nel passaggio dal 2016 al 2017, per interventi di natura in prevalenza pluriennale, ha indubbiamente frenato le capacità espansive delle nuove regole ed il pieno utilizzo dei margini disponibili. </w:t>
      </w:r>
    </w:p>
    <w:p w:rsidR="00AC752B" w:rsidRDefault="00A95DCC" w:rsidP="00B27DDF">
      <w:pPr>
        <w:spacing w:after="120" w:line="259" w:lineRule="auto"/>
        <w:jc w:val="both"/>
        <w:rPr>
          <w:rFonts w:ascii="Bookman Old Style" w:hAnsi="Bookman Old Style"/>
        </w:rPr>
      </w:pPr>
      <w:r>
        <w:rPr>
          <w:rFonts w:ascii="Bookman Old Style" w:hAnsi="Bookman Old Style"/>
        </w:rPr>
        <w:t>Resta critico il</w:t>
      </w:r>
      <w:r w:rsidR="001B2E5E">
        <w:rPr>
          <w:rFonts w:ascii="Bookman Old Style" w:hAnsi="Bookman Old Style"/>
        </w:rPr>
        <w:t xml:space="preserve"> nodo della redistribuzione degl</w:t>
      </w:r>
      <w:r>
        <w:rPr>
          <w:rFonts w:ascii="Bookman Old Style" w:hAnsi="Bookman Old Style"/>
        </w:rPr>
        <w:t>i spazi finanziari in corso d’anno. La prima fase di flessibilità regionale è attualmente in corso e non potrà prevedibilmente contare su interventi “verticali” da parte di molte Regioni. Il comitato di monitoraggio previsto dal DPCM attuativo dell’articolo 10 della revisionata legge 243 potrà contribuire all’individuazione delle criticità, ma la forte normazione primaria della flessibilità (scadenze, chiusura nazionale a giugno, criteri e priorità) rende difficili interventi di correzione tempestivi ed efficaci.</w:t>
      </w:r>
    </w:p>
    <w:p w:rsidR="00A804CA" w:rsidRDefault="00D73915" w:rsidP="00B27DDF">
      <w:pPr>
        <w:spacing w:after="120" w:line="259" w:lineRule="auto"/>
        <w:jc w:val="both"/>
        <w:rPr>
          <w:rFonts w:ascii="Bookman Old Style" w:hAnsi="Bookman Old Style"/>
        </w:rPr>
      </w:pPr>
      <w:r>
        <w:rPr>
          <w:rFonts w:ascii="Bookman Old Style" w:hAnsi="Bookman Old Style"/>
        </w:rPr>
        <w:t xml:space="preserve">Non può </w:t>
      </w:r>
      <w:r w:rsidR="00A95DCC">
        <w:rPr>
          <w:rFonts w:ascii="Bookman Old Style" w:hAnsi="Bookman Old Style"/>
        </w:rPr>
        <w:t xml:space="preserve">essere in ogni caso </w:t>
      </w:r>
      <w:r>
        <w:rPr>
          <w:rFonts w:ascii="Bookman Old Style" w:hAnsi="Bookman Old Style"/>
        </w:rPr>
        <w:t>sottovalutato</w:t>
      </w:r>
      <w:r w:rsidR="00A95DCC">
        <w:rPr>
          <w:rFonts w:ascii="Bookman Old Style" w:hAnsi="Bookman Old Style"/>
        </w:rPr>
        <w:t xml:space="preserve">, ad avviso dell’ANCI, </w:t>
      </w:r>
      <w:r w:rsidR="0014359D">
        <w:rPr>
          <w:rFonts w:ascii="Bookman Old Style" w:hAnsi="Bookman Old Style"/>
        </w:rPr>
        <w:t>lo sforzo di risanamento posto in essere</w:t>
      </w:r>
      <w:r w:rsidR="0067798B">
        <w:rPr>
          <w:rFonts w:ascii="Bookman Old Style" w:hAnsi="Bookman Old Style"/>
        </w:rPr>
        <w:t xml:space="preserve"> </w:t>
      </w:r>
      <w:r w:rsidR="00A95DCC">
        <w:rPr>
          <w:rFonts w:ascii="Bookman Old Style" w:hAnsi="Bookman Old Style"/>
        </w:rPr>
        <w:t xml:space="preserve">dal comparto </w:t>
      </w:r>
      <w:r w:rsidR="0000224C">
        <w:rPr>
          <w:rFonts w:ascii="Bookman Old Style" w:hAnsi="Bookman Old Style"/>
        </w:rPr>
        <w:t>attraverso la dimensione imponente degli accantonamenti</w:t>
      </w:r>
      <w:r w:rsidR="0014359D">
        <w:rPr>
          <w:rFonts w:ascii="Bookman Old Style" w:hAnsi="Bookman Old Style"/>
        </w:rPr>
        <w:t xml:space="preserve">, che costituisce </w:t>
      </w:r>
      <w:r w:rsidR="0000224C">
        <w:rPr>
          <w:rFonts w:ascii="Bookman Old Style" w:hAnsi="Bookman Old Style"/>
        </w:rPr>
        <w:t xml:space="preserve">di fatto una </w:t>
      </w:r>
      <w:r w:rsidR="0014359D">
        <w:rPr>
          <w:rFonts w:ascii="Bookman Old Style" w:hAnsi="Bookman Old Style"/>
        </w:rPr>
        <w:t xml:space="preserve">dote per la finanza pubblica, </w:t>
      </w:r>
      <w:r w:rsidR="0067798B">
        <w:rPr>
          <w:rFonts w:ascii="Bookman Old Style" w:hAnsi="Bookman Old Style"/>
        </w:rPr>
        <w:t xml:space="preserve">da valorizzare nel prossimo futuro a copertura di regole </w:t>
      </w:r>
      <w:r w:rsidR="0000224C">
        <w:rPr>
          <w:rFonts w:ascii="Bookman Old Style" w:hAnsi="Bookman Old Style"/>
        </w:rPr>
        <w:t xml:space="preserve">di maggior espansività </w:t>
      </w:r>
      <w:r w:rsidR="0067798B">
        <w:rPr>
          <w:rFonts w:ascii="Bookman Old Style" w:hAnsi="Bookman Old Style"/>
        </w:rPr>
        <w:t xml:space="preserve">del vincolo di finanza pubblica, con la finalità di rendere più </w:t>
      </w:r>
      <w:r>
        <w:rPr>
          <w:rFonts w:ascii="Bookman Old Style" w:hAnsi="Bookman Old Style"/>
        </w:rPr>
        <w:t xml:space="preserve">ampia ed </w:t>
      </w:r>
      <w:r w:rsidR="0067798B">
        <w:rPr>
          <w:rFonts w:ascii="Bookman Old Style" w:hAnsi="Bookman Old Style"/>
        </w:rPr>
        <w:t xml:space="preserve">efficace </w:t>
      </w:r>
      <w:r>
        <w:rPr>
          <w:rFonts w:ascii="Bookman Old Style" w:hAnsi="Bookman Old Style"/>
        </w:rPr>
        <w:t xml:space="preserve">la </w:t>
      </w:r>
      <w:r w:rsidR="0000224C">
        <w:rPr>
          <w:rFonts w:ascii="Bookman Old Style" w:hAnsi="Bookman Old Style"/>
        </w:rPr>
        <w:t>mobilitazione delle risorse disponibili anche per gli enti con margini di competenza potenziata di minore entità</w:t>
      </w:r>
      <w:r w:rsidR="0067798B">
        <w:rPr>
          <w:rFonts w:ascii="Bookman Old Style" w:hAnsi="Bookman Old Style"/>
        </w:rPr>
        <w:t>.</w:t>
      </w:r>
    </w:p>
    <w:p w:rsidR="00B27DDF" w:rsidRDefault="00B27DDF" w:rsidP="00B27DDF">
      <w:pPr>
        <w:spacing w:after="120" w:line="259" w:lineRule="auto"/>
        <w:jc w:val="both"/>
        <w:rPr>
          <w:rFonts w:ascii="Bookman Old Style" w:hAnsi="Bookman Old Style"/>
        </w:rPr>
      </w:pPr>
    </w:p>
    <w:p w:rsidR="0036040D" w:rsidRPr="002F6518" w:rsidRDefault="0036040D" w:rsidP="002F6518">
      <w:pPr>
        <w:pStyle w:val="Titolo1"/>
      </w:pPr>
      <w:bookmarkStart w:id="6" w:name="_Toc480289415"/>
      <w:r w:rsidRPr="002F6518">
        <w:t>Stabilizzazione delle regole di finanza pubblica: opportunità e criticità</w:t>
      </w:r>
      <w:bookmarkEnd w:id="6"/>
    </w:p>
    <w:p w:rsidR="0036040D" w:rsidRDefault="0036040D" w:rsidP="0036040D">
      <w:pPr>
        <w:spacing w:after="120" w:line="259" w:lineRule="auto"/>
        <w:jc w:val="both"/>
        <w:rPr>
          <w:rFonts w:ascii="Bookman Old Style" w:hAnsi="Bookman Old Style" w:cs="BookAntiqua-Bold"/>
          <w:bCs/>
        </w:rPr>
      </w:pPr>
      <w:r>
        <w:rPr>
          <w:rFonts w:ascii="Bookman Old Style" w:hAnsi="Bookman Old Style" w:cs="BookAntiqua-Bold"/>
          <w:bCs/>
        </w:rPr>
        <w:t>L’armonizzazione contabile, avviata a regime dal 2015, grazie agli sforzi profusi dalle autonomie locali, rappresenta una riforma strutturale di grande portata, che, se da un lato ha comportato un importante riassetto negli equilibri contabili dei comuni, con forte impatto amministrativo e rilevanti effetti sui bilanci, dall’altro ha favorito l’abbandono del Patto di stabilità interno</w:t>
      </w:r>
      <w:r w:rsidR="003C549A">
        <w:rPr>
          <w:rFonts w:ascii="Bookman Old Style" w:hAnsi="Bookman Old Style" w:cs="BookAntiqua-Bold"/>
          <w:bCs/>
        </w:rPr>
        <w:t>,</w:t>
      </w:r>
      <w:r>
        <w:rPr>
          <w:rFonts w:ascii="Bookman Old Style" w:hAnsi="Bookman Old Style" w:cs="BookAntiqua-Bold"/>
          <w:bCs/>
        </w:rPr>
        <w:t xml:space="preserve"> sostituito dal saldo finale di competenza quale nuovo vincolo di finanza pubblica, facilitando contestualmente il percorso di modifica della legge n. 243 del 2012, conclusosi con l’approvazione della legge n. 164 del 2016. </w:t>
      </w:r>
    </w:p>
    <w:p w:rsidR="0036040D" w:rsidRDefault="008E5CAE" w:rsidP="0036040D">
      <w:pPr>
        <w:spacing w:after="120" w:line="259" w:lineRule="auto"/>
        <w:jc w:val="both"/>
        <w:rPr>
          <w:rFonts w:ascii="Bookman Old Style" w:hAnsi="Bookman Old Style" w:cs="BookAntiqua-Bold"/>
          <w:bCs/>
        </w:rPr>
      </w:pPr>
      <w:r>
        <w:rPr>
          <w:rFonts w:ascii="Bookman Old Style" w:hAnsi="Bookman Old Style" w:cs="BookAntiqua-Bold"/>
          <w:bCs/>
        </w:rPr>
        <w:t xml:space="preserve">Di fatto, il </w:t>
      </w:r>
      <w:r w:rsidR="0036040D">
        <w:rPr>
          <w:rFonts w:ascii="Bookman Old Style" w:hAnsi="Bookman Old Style" w:cs="BookAntiqua-Bold"/>
          <w:bCs/>
        </w:rPr>
        <w:t>nuovo sistema contabile</w:t>
      </w:r>
      <w:r>
        <w:rPr>
          <w:rFonts w:ascii="Bookman Old Style" w:hAnsi="Bookman Old Style" w:cs="BookAntiqua-Bold"/>
          <w:bCs/>
        </w:rPr>
        <w:t xml:space="preserve"> ha costituito </w:t>
      </w:r>
      <w:r w:rsidR="0036040D">
        <w:rPr>
          <w:rFonts w:ascii="Bookman Old Style" w:hAnsi="Bookman Old Style" w:cs="BookAntiqua-Bold"/>
          <w:bCs/>
        </w:rPr>
        <w:t xml:space="preserve">una condizione </w:t>
      </w:r>
      <w:r>
        <w:rPr>
          <w:rFonts w:ascii="Bookman Old Style" w:hAnsi="Bookman Old Style" w:cs="BookAntiqua-Bold"/>
          <w:bCs/>
        </w:rPr>
        <w:t xml:space="preserve">essenziale </w:t>
      </w:r>
      <w:r w:rsidR="0036040D">
        <w:rPr>
          <w:rFonts w:ascii="Bookman Old Style" w:hAnsi="Bookman Old Style" w:cs="BookAntiqua-Bold"/>
          <w:bCs/>
        </w:rPr>
        <w:t>per consentire il superamento del meccanismo della competenza mista vigente i</w:t>
      </w:r>
      <w:r>
        <w:rPr>
          <w:rFonts w:ascii="Bookman Old Style" w:hAnsi="Bookman Old Style" w:cs="BookAntiqua-Bold"/>
          <w:bCs/>
        </w:rPr>
        <w:t xml:space="preserve">n regime di Patto di stabilità, creando le condizioni per individuare nella </w:t>
      </w:r>
      <w:r w:rsidR="0036040D">
        <w:rPr>
          <w:rFonts w:ascii="Bookman Old Style" w:hAnsi="Bookman Old Style" w:cs="BookAntiqua-Bold"/>
          <w:bCs/>
        </w:rPr>
        <w:t xml:space="preserve">la competenza potenziata la migliore approssimazione al saldo utilizzato a livello europeo per la definizione dell’indebitamento netto dalla Pubblica Amministrazione. </w:t>
      </w:r>
    </w:p>
    <w:p w:rsidR="008E5CAE" w:rsidRDefault="008E5CAE" w:rsidP="0036040D">
      <w:pPr>
        <w:spacing w:after="120" w:line="259" w:lineRule="auto"/>
        <w:jc w:val="both"/>
        <w:rPr>
          <w:rFonts w:ascii="Bookman Old Style" w:hAnsi="Bookman Old Style" w:cs="BookAntiqua-Bold"/>
          <w:bCs/>
        </w:rPr>
      </w:pPr>
      <w:r>
        <w:rPr>
          <w:rFonts w:ascii="Bookman Old Style" w:hAnsi="Bookman Old Style" w:cs="BookAntiqua-Bold"/>
          <w:bCs/>
        </w:rPr>
        <w:t>I</w:t>
      </w:r>
      <w:r w:rsidR="0036040D">
        <w:rPr>
          <w:rFonts w:ascii="Bookman Old Style" w:hAnsi="Bookman Old Style" w:cs="BookAntiqua-Bold"/>
          <w:bCs/>
        </w:rPr>
        <w:t>l</w:t>
      </w:r>
      <w:r w:rsidR="0036040D">
        <w:rPr>
          <w:rFonts w:ascii="Bookman Old Style" w:hAnsi="Bookman Old Style" w:cs="BookAntiqua-Bold"/>
          <w:b/>
          <w:bCs/>
        </w:rPr>
        <w:t xml:space="preserve"> nuovo saldo </w:t>
      </w:r>
      <w:r>
        <w:rPr>
          <w:rFonts w:ascii="Bookman Old Style" w:hAnsi="Bookman Old Style" w:cs="BookAntiqua-Bold"/>
          <w:b/>
          <w:bCs/>
        </w:rPr>
        <w:t xml:space="preserve">di competenza </w:t>
      </w:r>
      <w:r w:rsidR="0036040D">
        <w:rPr>
          <w:rFonts w:ascii="Bookman Old Style" w:hAnsi="Bookman Old Style" w:cs="BookAntiqua-Bold"/>
          <w:b/>
          <w:bCs/>
        </w:rPr>
        <w:t>offre agli enti locali una maggiore capacità di spesa</w:t>
      </w:r>
      <w:r w:rsidR="0036040D">
        <w:rPr>
          <w:rFonts w:ascii="Bookman Old Style" w:hAnsi="Bookman Old Style" w:cs="BookAntiqua-Bold"/>
          <w:bCs/>
        </w:rPr>
        <w:t xml:space="preserve"> </w:t>
      </w:r>
      <w:r w:rsidR="003C549A" w:rsidRPr="003C549A">
        <w:rPr>
          <w:rFonts w:ascii="Bookman Old Style" w:hAnsi="Bookman Old Style" w:cs="BookAntiqua-Bold"/>
          <w:b/>
          <w:bCs/>
        </w:rPr>
        <w:t>per i</w:t>
      </w:r>
      <w:r w:rsidR="0036040D" w:rsidRPr="003C549A">
        <w:rPr>
          <w:rFonts w:ascii="Bookman Old Style" w:hAnsi="Bookman Old Style" w:cs="BookAntiqua-Bold"/>
          <w:b/>
          <w:bCs/>
        </w:rPr>
        <w:t>nvestimenti</w:t>
      </w:r>
      <w:r w:rsidR="0036040D">
        <w:rPr>
          <w:rFonts w:ascii="Bookman Old Style" w:hAnsi="Bookman Old Style" w:cs="BookAntiqua-Bold"/>
          <w:bCs/>
        </w:rPr>
        <w:t>, grazie al venir meno di qualsiasi obbligo di conseguire avan</w:t>
      </w:r>
      <w:r>
        <w:rPr>
          <w:rFonts w:ascii="Bookman Old Style" w:hAnsi="Bookman Old Style" w:cs="BookAntiqua-Bold"/>
          <w:bCs/>
        </w:rPr>
        <w:t xml:space="preserve">zi annuali di tipo finanziario ed al progressivo consolidamento dell’inclusione </w:t>
      </w:r>
      <w:r w:rsidR="0036040D">
        <w:rPr>
          <w:rFonts w:ascii="Bookman Old Style" w:hAnsi="Bookman Old Style" w:cs="BookAntiqua-Bold"/>
          <w:bCs/>
        </w:rPr>
        <w:t>del Fondo Pluriennale Vincolato (FPV), sia in entrata che in uscita</w:t>
      </w:r>
      <w:r>
        <w:rPr>
          <w:rFonts w:ascii="Bookman Old Style" w:hAnsi="Bookman Old Style" w:cs="BookAntiqua-Bold"/>
          <w:bCs/>
        </w:rPr>
        <w:t xml:space="preserve"> per tutto il periodo 2016-2019. Tale più favorevole declinazione del saldo è stata purtroppo stabilizzata soltanto nel corso del 2016 (e in definitiva con la Legge di bilancio 2017)</w:t>
      </w:r>
      <w:r w:rsidR="0036040D">
        <w:rPr>
          <w:rFonts w:ascii="Bookman Old Style" w:hAnsi="Bookman Old Style" w:cs="BookAntiqua-Bold"/>
          <w:bCs/>
        </w:rPr>
        <w:t xml:space="preserve">, </w:t>
      </w:r>
      <w:r>
        <w:rPr>
          <w:rFonts w:ascii="Bookman Old Style" w:hAnsi="Bookman Old Style" w:cs="BookAntiqua-Bold"/>
          <w:bCs/>
        </w:rPr>
        <w:t xml:space="preserve">producendo un periodo di incertezza che non ha ancora consentito il pieno dispiegamento delle potenzialità di </w:t>
      </w:r>
      <w:r w:rsidR="0036040D">
        <w:rPr>
          <w:rFonts w:ascii="Bookman Old Style" w:hAnsi="Bookman Old Style" w:cs="BookAntiqua-Bold"/>
          <w:bCs/>
        </w:rPr>
        <w:t>sblocco di quote significative di avanzo di amministrazione</w:t>
      </w:r>
      <w:r>
        <w:rPr>
          <w:rFonts w:ascii="Bookman Old Style" w:hAnsi="Bookman Old Style" w:cs="BookAntiqua-Bold"/>
          <w:bCs/>
        </w:rPr>
        <w:t>.</w:t>
      </w:r>
    </w:p>
    <w:p w:rsidR="00BE1F8D" w:rsidRDefault="00BE1F8D" w:rsidP="00A77CC1">
      <w:pPr>
        <w:pStyle w:val="Titolo2"/>
      </w:pPr>
    </w:p>
    <w:p w:rsidR="00A77CC1" w:rsidRDefault="00A77CC1" w:rsidP="00BE1F8D">
      <w:pPr>
        <w:pStyle w:val="Titolo2"/>
      </w:pPr>
      <w:bookmarkStart w:id="7" w:name="_Toc480289416"/>
      <w:r>
        <w:t>Nuovo impianto sanzionatorio e flessibilità del saldo</w:t>
      </w:r>
      <w:bookmarkEnd w:id="7"/>
    </w:p>
    <w:p w:rsidR="0036040D" w:rsidRPr="00D87444" w:rsidRDefault="008E5CAE" w:rsidP="0036040D">
      <w:pPr>
        <w:spacing w:after="120" w:line="259" w:lineRule="auto"/>
        <w:jc w:val="both"/>
        <w:rPr>
          <w:rFonts w:ascii="Bookman Old Style" w:hAnsi="Bookman Old Style"/>
        </w:rPr>
      </w:pPr>
      <w:r>
        <w:rPr>
          <w:rFonts w:ascii="Bookman Old Style" w:hAnsi="Bookman Old Style"/>
        </w:rPr>
        <w:t xml:space="preserve">Restano tuttavia necessarie diverse </w:t>
      </w:r>
      <w:r w:rsidR="0036040D" w:rsidRPr="00D87444">
        <w:rPr>
          <w:rFonts w:ascii="Bookman Old Style" w:hAnsi="Bookman Old Style"/>
        </w:rPr>
        <w:t>ulteriori modifiche al</w:t>
      </w:r>
      <w:r w:rsidR="0036040D">
        <w:rPr>
          <w:rFonts w:ascii="Bookman Old Style" w:hAnsi="Bookman Old Style"/>
        </w:rPr>
        <w:t>la disciplina del</w:t>
      </w:r>
      <w:r w:rsidR="0036040D" w:rsidRPr="00D87444">
        <w:rPr>
          <w:rFonts w:ascii="Bookman Old Style" w:hAnsi="Bookman Old Style"/>
        </w:rPr>
        <w:t xml:space="preserve"> nuovo vincolo di finanza pubblica. </w:t>
      </w:r>
      <w:r w:rsidR="00BE1F8D">
        <w:rPr>
          <w:rFonts w:ascii="Bookman Old Style" w:hAnsi="Bookman Old Style"/>
        </w:rPr>
        <w:t xml:space="preserve">È anzitutto </w:t>
      </w:r>
      <w:r w:rsidR="0036040D" w:rsidRPr="00D87444">
        <w:rPr>
          <w:rFonts w:ascii="Bookman Old Style" w:hAnsi="Bookman Old Style"/>
        </w:rPr>
        <w:t xml:space="preserve">necessario anticipare ai casi di sforamento del saldo 2016 </w:t>
      </w:r>
      <w:r w:rsidR="0036040D" w:rsidRPr="00D87444">
        <w:rPr>
          <w:rFonts w:ascii="Bookman Old Style" w:hAnsi="Bookman Old Style"/>
          <w:b/>
        </w:rPr>
        <w:t>l’impianto sanzionatorio</w:t>
      </w:r>
      <w:r w:rsidR="0036040D" w:rsidRPr="00D87444">
        <w:rPr>
          <w:rFonts w:ascii="Bookman Old Style" w:hAnsi="Bookman Old Style"/>
        </w:rPr>
        <w:t xml:space="preserve"> previsto dalla legge di bilancio 232/2016 </w:t>
      </w:r>
      <w:r w:rsidR="00D73915">
        <w:rPr>
          <w:rFonts w:ascii="Bookman Old Style" w:hAnsi="Bookman Old Style"/>
        </w:rPr>
        <w:t xml:space="preserve">solo a decorrere dai risultati del </w:t>
      </w:r>
      <w:r w:rsidR="0036040D" w:rsidRPr="00D87444">
        <w:rPr>
          <w:rFonts w:ascii="Bookman Old Style" w:hAnsi="Bookman Old Style"/>
        </w:rPr>
        <w:t>saldo 2017. L’importante revisione delle sanzioni è infatti coerente con criteri di proporzionalità, ragionevolezza ed efficacia previsti dalla legge 243/2012</w:t>
      </w:r>
      <w:r w:rsidR="00D73915">
        <w:rPr>
          <w:rFonts w:ascii="Bookman Old Style" w:hAnsi="Bookman Old Style"/>
        </w:rPr>
        <w:t xml:space="preserve"> doverosamente applicabili anche all’esercizio 2016</w:t>
      </w:r>
      <w:r w:rsidR="0036040D" w:rsidRPr="00D87444">
        <w:rPr>
          <w:rFonts w:ascii="Bookman Old Style" w:hAnsi="Bookman Old Style"/>
        </w:rPr>
        <w:t xml:space="preserve">. Il 2016, pertanto, andrebbe a configurarsi come un anno di rottura rispetto alla normativa previgente sul patto di stabilità, sia in termini di vincoli di finanza pubblica che di sanzioni previste per il mancato rispetto degli stessi. </w:t>
      </w:r>
    </w:p>
    <w:p w:rsidR="0036040D" w:rsidRDefault="0036040D" w:rsidP="0036040D">
      <w:pPr>
        <w:spacing w:after="120" w:line="259" w:lineRule="auto"/>
        <w:jc w:val="both"/>
        <w:rPr>
          <w:rFonts w:ascii="Bookman Old Style" w:hAnsi="Bookman Old Style"/>
        </w:rPr>
      </w:pPr>
      <w:r>
        <w:rPr>
          <w:rFonts w:ascii="Bookman Old Style" w:hAnsi="Bookman Old Style"/>
        </w:rPr>
        <w:t xml:space="preserve">Non meno cruciale è la previsione di </w:t>
      </w:r>
      <w:r w:rsidRPr="00451900">
        <w:rPr>
          <w:rFonts w:ascii="Bookman Old Style" w:hAnsi="Bookman Old Style"/>
          <w:b/>
        </w:rPr>
        <w:t>ulteriori elementi di flessibilità</w:t>
      </w:r>
      <w:r>
        <w:rPr>
          <w:rFonts w:ascii="Bookman Old Style" w:hAnsi="Bookman Old Style"/>
        </w:rPr>
        <w:t xml:space="preserve">, pur nella coerenza dell’impianto complessivo della normativa vigente. </w:t>
      </w:r>
    </w:p>
    <w:p w:rsidR="0036040D" w:rsidRPr="007666A5" w:rsidRDefault="0036040D" w:rsidP="0036040D">
      <w:pPr>
        <w:spacing w:after="120" w:line="259" w:lineRule="auto"/>
        <w:jc w:val="both"/>
        <w:rPr>
          <w:rFonts w:ascii="Bookman Old Style" w:hAnsi="Bookman Old Style"/>
        </w:rPr>
      </w:pPr>
      <w:r>
        <w:rPr>
          <w:rFonts w:ascii="Bookman Old Style" w:hAnsi="Bookman Old Style"/>
        </w:rPr>
        <w:t xml:space="preserve">Deve essere in primo luogo meglio valutata la </w:t>
      </w:r>
      <w:r w:rsidRPr="005752F7">
        <w:rPr>
          <w:rFonts w:ascii="Bookman Old Style" w:hAnsi="Bookman Old Style"/>
          <w:b/>
        </w:rPr>
        <w:t>difficoltà di assorbimento degli avanzi accumulati</w:t>
      </w:r>
      <w:r>
        <w:rPr>
          <w:rFonts w:ascii="Bookman Old Style" w:hAnsi="Bookman Old Style"/>
        </w:rPr>
        <w:t xml:space="preserve"> con il vecchio Patto, in particolare </w:t>
      </w:r>
      <w:r w:rsidRPr="005752F7">
        <w:rPr>
          <w:rFonts w:ascii="Bookman Old Style" w:hAnsi="Bookman Old Style"/>
          <w:b/>
        </w:rPr>
        <w:t>per enti di dimensione piccola e medio-piccola</w:t>
      </w:r>
      <w:r>
        <w:rPr>
          <w:rFonts w:ascii="Bookman Old Style" w:hAnsi="Bookman Old Style"/>
        </w:rPr>
        <w:t xml:space="preserve"> che dispongono di avanzi consistenti (con fondi cassa di analoghe dimensioni) a fronte di margini di pareggio di bilancio relativamente esigui. Per questi enti si manifesta </w:t>
      </w:r>
      <w:r w:rsidRPr="00094BE9">
        <w:rPr>
          <w:rFonts w:ascii="Bookman Old Style" w:hAnsi="Bookman Old Style"/>
          <w:b/>
        </w:rPr>
        <w:t xml:space="preserve">un’esigenza di ampliamento dei margini di utilizzo degli avanzi per </w:t>
      </w:r>
      <w:r w:rsidR="00094BE9">
        <w:rPr>
          <w:rFonts w:ascii="Bookman Old Style" w:hAnsi="Bookman Old Style"/>
          <w:b/>
        </w:rPr>
        <w:t xml:space="preserve">finanziare </w:t>
      </w:r>
      <w:r w:rsidRPr="00094BE9">
        <w:rPr>
          <w:rFonts w:ascii="Bookman Old Style" w:hAnsi="Bookman Old Style"/>
          <w:b/>
        </w:rPr>
        <w:t>investimenti</w:t>
      </w:r>
      <w:r>
        <w:rPr>
          <w:rFonts w:ascii="Bookman Old Style" w:hAnsi="Bookman Old Style"/>
        </w:rPr>
        <w:t xml:space="preserve">, peraltro </w:t>
      </w:r>
      <w:r w:rsidR="00094BE9">
        <w:rPr>
          <w:rFonts w:ascii="Bookman Old Style" w:hAnsi="Bookman Old Style"/>
        </w:rPr>
        <w:t xml:space="preserve">ampiamente </w:t>
      </w:r>
      <w:r>
        <w:rPr>
          <w:rFonts w:ascii="Bookman Old Style" w:hAnsi="Bookman Old Style"/>
        </w:rPr>
        <w:t>sostenibile anche alla luce dei dati sul carattere strutturale dell’</w:t>
      </w:r>
      <w:r>
        <w:rPr>
          <w:rFonts w:ascii="Bookman Old Style" w:hAnsi="Bookman Old Style"/>
          <w:i/>
        </w:rPr>
        <w:t xml:space="preserve">overshooting </w:t>
      </w:r>
      <w:r>
        <w:rPr>
          <w:rFonts w:ascii="Bookman Old Style" w:hAnsi="Bookman Old Style"/>
        </w:rPr>
        <w:t xml:space="preserve">comunale di cui al paragrafo </w:t>
      </w:r>
      <w:r w:rsidR="008E5CAE">
        <w:rPr>
          <w:rFonts w:ascii="Bookman Old Style" w:hAnsi="Bookman Old Style"/>
        </w:rPr>
        <w:t>precedente.</w:t>
      </w:r>
    </w:p>
    <w:p w:rsidR="0036040D" w:rsidRPr="00D87444" w:rsidRDefault="0036040D" w:rsidP="0036040D">
      <w:pPr>
        <w:spacing w:after="120" w:line="259" w:lineRule="auto"/>
        <w:jc w:val="both"/>
        <w:rPr>
          <w:rFonts w:ascii="Bookman Old Style" w:hAnsi="Bookman Old Style"/>
        </w:rPr>
      </w:pPr>
      <w:r>
        <w:rPr>
          <w:rFonts w:ascii="Bookman Old Style" w:hAnsi="Bookman Old Style"/>
        </w:rPr>
        <w:t xml:space="preserve">Vanno altresì considerati alcuni adeguamenti minori, quali, a titolo esemplificativo, quelli relativi agli </w:t>
      </w:r>
      <w:r w:rsidRPr="00D87444">
        <w:rPr>
          <w:rFonts w:ascii="Bookman Old Style" w:hAnsi="Bookman Old Style"/>
          <w:b/>
        </w:rPr>
        <w:t xml:space="preserve">interventi </w:t>
      </w:r>
      <w:r w:rsidRPr="00D87444">
        <w:rPr>
          <w:rFonts w:ascii="Bookman Old Style" w:eastAsia="Calibri" w:hAnsi="Bookman Old Style" w:cs="Times New Roman"/>
          <w:b/>
        </w:rPr>
        <w:t>di gestione delle discariche per rifiuti solidi urbani successivi alla chiusura</w:t>
      </w:r>
      <w:r w:rsidRPr="00D87444">
        <w:rPr>
          <w:rFonts w:ascii="Bookman Old Style" w:eastAsia="Calibri" w:hAnsi="Bookman Old Style" w:cs="Times New Roman"/>
        </w:rPr>
        <w:t xml:space="preserve"> delle discariche stesse (cosiddetta </w:t>
      </w:r>
      <w:r w:rsidRPr="00D87444">
        <w:rPr>
          <w:rFonts w:ascii="Bookman Old Style" w:eastAsia="Calibri" w:hAnsi="Bookman Old Style" w:cs="Times New Roman"/>
          <w:b/>
        </w:rPr>
        <w:t>gestione “post mortem</w:t>
      </w:r>
      <w:r w:rsidRPr="00D87444">
        <w:rPr>
          <w:rFonts w:ascii="Bookman Old Style" w:eastAsia="Calibri" w:hAnsi="Bookman Old Style" w:cs="Times New Roman"/>
        </w:rPr>
        <w:t>”)</w:t>
      </w:r>
      <w:r>
        <w:rPr>
          <w:rFonts w:ascii="Bookman Old Style" w:eastAsia="Calibri" w:hAnsi="Bookman Old Style" w:cs="Times New Roman"/>
        </w:rPr>
        <w:t>. Si tratta di una</w:t>
      </w:r>
      <w:r w:rsidRPr="00D87444">
        <w:rPr>
          <w:rFonts w:ascii="Bookman Old Style" w:eastAsia="Calibri" w:hAnsi="Bookman Old Style" w:cs="Times New Roman"/>
        </w:rPr>
        <w:t xml:space="preserve"> questione che</w:t>
      </w:r>
      <w:r>
        <w:rPr>
          <w:rFonts w:ascii="Bookman Old Style" w:eastAsia="Calibri" w:hAnsi="Bookman Old Style" w:cs="Times New Roman"/>
        </w:rPr>
        <w:t>,</w:t>
      </w:r>
      <w:r w:rsidRPr="00D87444">
        <w:rPr>
          <w:rFonts w:ascii="Bookman Old Style" w:eastAsia="Calibri" w:hAnsi="Bookman Old Style" w:cs="Times New Roman"/>
        </w:rPr>
        <w:t xml:space="preserve"> pur riguardando un numero limitato di Comuni di piccole e piccolissime dimensioni, </w:t>
      </w:r>
      <w:r>
        <w:rPr>
          <w:rFonts w:ascii="Bookman Old Style" w:eastAsia="Calibri" w:hAnsi="Bookman Old Style" w:cs="Times New Roman"/>
        </w:rPr>
        <w:t xml:space="preserve">segnala un problema di carattere generale che deve essere ben governato per evitare </w:t>
      </w:r>
      <w:r w:rsidRPr="00D87444">
        <w:rPr>
          <w:rFonts w:ascii="Bookman Old Style" w:eastAsia="Calibri" w:hAnsi="Bookman Old Style" w:cs="Times New Roman"/>
        </w:rPr>
        <w:t xml:space="preserve">difficoltà oggettive nella gestione dei bilanci. </w:t>
      </w:r>
      <w:r>
        <w:rPr>
          <w:rFonts w:ascii="Bookman Old Style" w:eastAsia="Calibri" w:hAnsi="Bookman Old Style" w:cs="Times New Roman"/>
        </w:rPr>
        <w:t xml:space="preserve">A fronte di leggi di settore (nel caso specifico sulla gestione dei rifiuti) </w:t>
      </w:r>
      <w:r>
        <w:rPr>
          <w:rFonts w:ascii="Bookman Old Style" w:hAnsi="Bookman Old Style"/>
        </w:rPr>
        <w:t>i C</w:t>
      </w:r>
      <w:r w:rsidRPr="00D87444">
        <w:rPr>
          <w:rFonts w:ascii="Bookman Old Style" w:hAnsi="Bookman Old Style"/>
        </w:rPr>
        <w:t>omuni che per anni hanno vincolato</w:t>
      </w:r>
      <w:r w:rsidR="00BE1F8D">
        <w:rPr>
          <w:rFonts w:ascii="Bookman Old Style" w:hAnsi="Bookman Old Style"/>
        </w:rPr>
        <w:t xml:space="preserve"> quote di risorse per future gestioni (nel caso specifico la gestione trentennale della bonifica dei siti)</w:t>
      </w:r>
      <w:r w:rsidRPr="00D87444">
        <w:rPr>
          <w:rFonts w:ascii="Bookman Old Style" w:hAnsi="Bookman Old Style"/>
        </w:rPr>
        <w:t xml:space="preserve">, si trovano ora nella condizione di </w:t>
      </w:r>
      <w:r>
        <w:rPr>
          <w:rFonts w:ascii="Bookman Old Style" w:hAnsi="Bookman Old Style"/>
        </w:rPr>
        <w:t xml:space="preserve">dover ricorrere ad ulteriori mezzi di copertura per l’utilizzo delle somme accantonate e confluite in avanzo, fino a non poter </w:t>
      </w:r>
      <w:r w:rsidRPr="00D87444">
        <w:rPr>
          <w:rFonts w:ascii="Bookman Old Style" w:hAnsi="Bookman Old Style"/>
        </w:rPr>
        <w:t>rispettare il saldo finale di competenza. Per superare tale situazione,</w:t>
      </w:r>
      <w:r>
        <w:rPr>
          <w:rFonts w:ascii="Bookman Old Style" w:hAnsi="Bookman Old Style"/>
        </w:rPr>
        <w:t xml:space="preserve"> non risolvibile neppure con il ricorso agli spazi finanziari aggiuntivi trattandosi di spese correnti,</w:t>
      </w:r>
      <w:r w:rsidRPr="00D87444">
        <w:rPr>
          <w:rFonts w:ascii="Bookman Old Style" w:hAnsi="Bookman Old Style"/>
        </w:rPr>
        <w:t xml:space="preserve"> Anci propone che sia possibile consentire l’imputazione nel fondo pluriennale vincolato delle </w:t>
      </w:r>
      <w:r>
        <w:rPr>
          <w:rFonts w:ascii="Bookman Old Style" w:hAnsi="Bookman Old Style"/>
        </w:rPr>
        <w:t xml:space="preserve">somme </w:t>
      </w:r>
      <w:r w:rsidRPr="00D87444">
        <w:rPr>
          <w:rFonts w:ascii="Bookman Old Style" w:hAnsi="Bookman Old Style"/>
        </w:rPr>
        <w:t xml:space="preserve">accantonate in avanzo annualmente esigibili per </w:t>
      </w:r>
      <w:r>
        <w:rPr>
          <w:rFonts w:ascii="Bookman Old Style" w:hAnsi="Bookman Old Style"/>
        </w:rPr>
        <w:t>le gestioni straordinarie previste dalle leggi di settore, assicurandone l’utilizzabilità anche per spese di parte corrente</w:t>
      </w:r>
      <w:r w:rsidRPr="00D87444">
        <w:rPr>
          <w:rFonts w:ascii="Bookman Old Style" w:eastAsia="Calibri" w:hAnsi="Bookman Old Style" w:cs="Times New Roman"/>
        </w:rPr>
        <w:t>.</w:t>
      </w:r>
    </w:p>
    <w:p w:rsidR="00EE4AF7" w:rsidRDefault="00EE4AF7" w:rsidP="00A77CC1">
      <w:pPr>
        <w:pStyle w:val="Titolo2"/>
      </w:pPr>
    </w:p>
    <w:p w:rsidR="00A77CC1" w:rsidRDefault="00A77CC1" w:rsidP="00A77CC1">
      <w:pPr>
        <w:pStyle w:val="Titolo2"/>
      </w:pPr>
      <w:bookmarkStart w:id="8" w:name="_Toc480289417"/>
      <w:r>
        <w:t>Esigenze di adeguamento dei principi contabili</w:t>
      </w:r>
      <w:bookmarkEnd w:id="8"/>
    </w:p>
    <w:p w:rsidR="0036040D" w:rsidRDefault="0036040D" w:rsidP="0036040D">
      <w:pPr>
        <w:spacing w:after="120" w:line="259" w:lineRule="auto"/>
        <w:jc w:val="both"/>
        <w:rPr>
          <w:rFonts w:ascii="Bookman Old Style" w:hAnsi="Bookman Old Style" w:cs="BookAntiqua-Bold"/>
          <w:bCs/>
        </w:rPr>
      </w:pPr>
      <w:r>
        <w:rPr>
          <w:rFonts w:ascii="Bookman Old Style" w:hAnsi="Bookman Old Style" w:cs="BookAntiqua-Bold"/>
          <w:bCs/>
        </w:rPr>
        <w:t xml:space="preserve">Il percorso che porta alla piena attuazione della riforma contabile e al suo consolidamento è ancora lungo. Come più volte evidenziato </w:t>
      </w:r>
      <w:r w:rsidR="008E5CAE">
        <w:rPr>
          <w:rFonts w:ascii="Bookman Old Style" w:hAnsi="Bookman Old Style" w:cs="BookAntiqua-Bold"/>
          <w:bCs/>
        </w:rPr>
        <w:t>nel periodo di sperimentazione e di avvio</w:t>
      </w:r>
      <w:r>
        <w:rPr>
          <w:rFonts w:ascii="Bookman Old Style" w:hAnsi="Bookman Old Style" w:cs="BookAntiqua-Bold"/>
          <w:bCs/>
        </w:rPr>
        <w:t>, infatti, il nuovo sistema contabile è suscettibile di progressivi miglioramenti. I principi contabili armonizzati</w:t>
      </w:r>
      <w:r w:rsidR="008E5CAE">
        <w:rPr>
          <w:rFonts w:ascii="Bookman Old Style" w:hAnsi="Bookman Old Style" w:cs="BookAntiqua-Bold"/>
          <w:bCs/>
        </w:rPr>
        <w:t>, pe</w:t>
      </w:r>
      <w:r w:rsidR="00094BE9">
        <w:rPr>
          <w:rFonts w:ascii="Bookman Old Style" w:hAnsi="Bookman Old Style" w:cs="BookAntiqua-Bold"/>
          <w:bCs/>
        </w:rPr>
        <w:t>ral</w:t>
      </w:r>
      <w:r w:rsidR="008E5CAE">
        <w:rPr>
          <w:rFonts w:ascii="Bookman Old Style" w:hAnsi="Bookman Old Style" w:cs="BookAntiqua-Bold"/>
          <w:bCs/>
        </w:rPr>
        <w:t>tro, possono essere modificati alla luce dell’esperienza di attuazione della riforma</w:t>
      </w:r>
      <w:r w:rsidR="00094BE9">
        <w:rPr>
          <w:rFonts w:ascii="Bookman Old Style" w:hAnsi="Bookman Old Style" w:cs="BookAntiqua-Bold"/>
          <w:bCs/>
        </w:rPr>
        <w:t xml:space="preserve">, come è più volte avvenuto anche a </w:t>
      </w:r>
      <w:r w:rsidR="00094BE9">
        <w:rPr>
          <w:rFonts w:ascii="Bookman Old Style" w:hAnsi="Bookman Old Style" w:cs="BookAntiqua-Bold"/>
          <w:bCs/>
        </w:rPr>
        <w:lastRenderedPageBreak/>
        <w:t xml:space="preserve">seguito delle proposte della </w:t>
      </w:r>
      <w:r>
        <w:rPr>
          <w:rFonts w:ascii="Bookman Old Style" w:hAnsi="Bookman Old Style" w:cs="BookAntiqua-Bold"/>
          <w:bCs/>
        </w:rPr>
        <w:t xml:space="preserve">Commissione Arconet, </w:t>
      </w:r>
      <w:r w:rsidR="00094BE9">
        <w:rPr>
          <w:rFonts w:ascii="Bookman Old Style" w:hAnsi="Bookman Old Style" w:cs="BookAntiqua-Bold"/>
          <w:bCs/>
        </w:rPr>
        <w:t xml:space="preserve">via via recepite </w:t>
      </w:r>
      <w:r>
        <w:rPr>
          <w:rFonts w:ascii="Bookman Old Style" w:hAnsi="Bookman Old Style" w:cs="BookAntiqua-Bold"/>
          <w:bCs/>
        </w:rPr>
        <w:t xml:space="preserve">in specifici decreti ministeriali. </w:t>
      </w:r>
    </w:p>
    <w:p w:rsidR="0036040D" w:rsidRDefault="0036040D" w:rsidP="0036040D">
      <w:pPr>
        <w:spacing w:after="120" w:line="259" w:lineRule="auto"/>
        <w:jc w:val="both"/>
        <w:rPr>
          <w:rFonts w:ascii="Bookman Old Style" w:hAnsi="Bookman Old Style" w:cs="BookAntiqua-Bold"/>
          <w:bCs/>
        </w:rPr>
      </w:pPr>
      <w:r w:rsidRPr="00D87444">
        <w:rPr>
          <w:rFonts w:ascii="Bookman Old Style" w:hAnsi="Bookman Old Style" w:cs="BookAntiqua-Bold"/>
          <w:bCs/>
        </w:rPr>
        <w:t xml:space="preserve">Tuttavia, numerose questioni rimangono aperte. Tra queste, la possibilità di prevedere </w:t>
      </w:r>
      <w:r w:rsidRPr="00D87444">
        <w:rPr>
          <w:rFonts w:ascii="Bookman Old Style" w:hAnsi="Bookman Old Style" w:cs="BookAntiqua-Bold"/>
          <w:b/>
          <w:bCs/>
        </w:rPr>
        <w:t>la costituzione del fondo pluriennale vincolato</w:t>
      </w:r>
      <w:r w:rsidRPr="00D87444">
        <w:rPr>
          <w:rFonts w:ascii="Bookman Old Style" w:hAnsi="Bookman Old Style" w:cs="BookAntiqua-Bold"/>
          <w:bCs/>
        </w:rPr>
        <w:t xml:space="preserve"> (FPV) per l’intero quadro economico progettuale di investimento in presenza di impegni assunti sulla base di obbligazioni giuridicamente perfezionate, imputate secondo esigibilità, ancorché relativi solo ad alcune spese del quadro economico progettuale, </w:t>
      </w:r>
      <w:r w:rsidRPr="00D87444">
        <w:rPr>
          <w:rFonts w:ascii="Bookman Old Style" w:hAnsi="Bookman Old Style" w:cs="BookAntiqua-Bold"/>
          <w:b/>
          <w:bCs/>
        </w:rPr>
        <w:t>comprese le spese di progettazione</w:t>
      </w:r>
      <w:r>
        <w:rPr>
          <w:rFonts w:ascii="Bookman Old Style" w:hAnsi="Bookman Old Style" w:cs="BookAntiqua-Bold"/>
          <w:bCs/>
        </w:rPr>
        <w:t xml:space="preserve"> – almeno definitiva –</w:t>
      </w:r>
      <w:r w:rsidRPr="00D87444">
        <w:rPr>
          <w:rFonts w:ascii="Bookman Old Style" w:hAnsi="Bookman Old Style" w:cs="BookAntiqua-Bold"/>
          <w:bCs/>
        </w:rPr>
        <w:t xml:space="preserve"> attualmente escluse, adeguando così il principio alla nuova disciplina contenuta nel Codice degli appalti, che assegna alla progettazione un nuovo ruolo rispetto al passato. In tal senso, l’impegno di spesa concernente la progettazione definitiva/esecutiva può essere considerato una condizione che garantisce l’avvio dell’opera, condizione prevista per la costituzione del FPV. </w:t>
      </w:r>
    </w:p>
    <w:p w:rsidR="0036040D" w:rsidRPr="00E26867" w:rsidRDefault="0036040D" w:rsidP="0036040D">
      <w:pPr>
        <w:spacing w:after="120" w:line="259" w:lineRule="auto"/>
        <w:jc w:val="both"/>
        <w:rPr>
          <w:rFonts w:ascii="Bookman Old Style" w:hAnsi="Bookman Old Style" w:cs="BookAntiqua-Bold"/>
          <w:bCs/>
        </w:rPr>
      </w:pPr>
      <w:r w:rsidRPr="00E26867">
        <w:rPr>
          <w:rFonts w:ascii="Bookman Old Style" w:hAnsi="Bookman Old Style" w:cs="BookAntiqua-Bold"/>
          <w:bCs/>
        </w:rPr>
        <w:t xml:space="preserve">Un’ulteriore questione da affrontare riguarda la </w:t>
      </w:r>
      <w:r w:rsidRPr="00E26867">
        <w:rPr>
          <w:rFonts w:ascii="Bookman Old Style" w:hAnsi="Bookman Old Style" w:cs="BookAntiqua-Bold"/>
          <w:b/>
          <w:bCs/>
        </w:rPr>
        <w:t>quantificazione del fondo crediti dubbia esigibilità (FCDE).</w:t>
      </w:r>
      <w:r w:rsidRPr="00E26867">
        <w:rPr>
          <w:rFonts w:ascii="Bookman Old Style" w:hAnsi="Bookman Old Style" w:cs="BookAntiqua-Bold"/>
          <w:bCs/>
        </w:rPr>
        <w:t xml:space="preserve"> È infatti frequente il caso di entrate che vengono riscosse, in misura pressoché integrale, nell’arco dell’anno o del biennio successivo</w:t>
      </w:r>
      <w:r w:rsidR="00094BE9">
        <w:rPr>
          <w:rFonts w:ascii="Bookman Old Style" w:hAnsi="Bookman Old Style" w:cs="BookAntiqua-Bold"/>
          <w:bCs/>
        </w:rPr>
        <w:t xml:space="preserve"> a quello di esercizio</w:t>
      </w:r>
      <w:r w:rsidRPr="00E26867">
        <w:rPr>
          <w:rFonts w:ascii="Bookman Old Style" w:hAnsi="Bookman Old Style" w:cs="BookAntiqua-Bold"/>
          <w:bCs/>
        </w:rPr>
        <w:t>. L'attuale disciplina del FCDE tende invece ad obbligare ad un accantonamento in spesa pari a quanto non riscosso nell’anno di competenza, producendo un avanzo di amministrazione forzoso che può libera</w:t>
      </w:r>
      <w:r w:rsidR="00094BE9">
        <w:rPr>
          <w:rFonts w:ascii="Bookman Old Style" w:hAnsi="Bookman Old Style" w:cs="BookAntiqua-Bold"/>
          <w:bCs/>
        </w:rPr>
        <w:t>rsi solo nella seconda metà del</w:t>
      </w:r>
      <w:r w:rsidRPr="00E26867">
        <w:rPr>
          <w:rFonts w:ascii="Bookman Old Style" w:hAnsi="Bookman Old Style" w:cs="BookAntiqua-Bold"/>
          <w:bCs/>
        </w:rPr>
        <w:t xml:space="preserve">l'esercizio successivo. Pertanto, ANCI ha proposto di rendere “ordinario” il metodo di calcolo del FCDE </w:t>
      </w:r>
      <w:r>
        <w:rPr>
          <w:rFonts w:ascii="Bookman Old Style" w:hAnsi="Bookman Old Style" w:cs="BookAntiqua-Bold"/>
          <w:bCs/>
        </w:rPr>
        <w:t xml:space="preserve">da accantonare nel bilancio di previsione </w:t>
      </w:r>
      <w:r w:rsidRPr="00E26867">
        <w:rPr>
          <w:rFonts w:ascii="Bookman Old Style" w:hAnsi="Bookman Old Style" w:cs="BookAntiqua-Bold"/>
          <w:bCs/>
        </w:rPr>
        <w:t xml:space="preserve">previsto dal principio applicato “in via transitoria”, che </w:t>
      </w:r>
      <w:r>
        <w:rPr>
          <w:rFonts w:ascii="Bookman Old Style" w:hAnsi="Bookman Old Style" w:cs="BookAntiqua-Bold"/>
          <w:bCs/>
        </w:rPr>
        <w:t xml:space="preserve">considera il </w:t>
      </w:r>
      <w:r w:rsidRPr="00E26867">
        <w:rPr>
          <w:rFonts w:ascii="Bookman Old Style" w:hAnsi="Bookman Old Style" w:cs="BookAntiqua-Bold"/>
          <w:bCs/>
        </w:rPr>
        <w:t xml:space="preserve">rapporto tra </w:t>
      </w:r>
      <w:r>
        <w:rPr>
          <w:rFonts w:ascii="Bookman Old Style" w:hAnsi="Bookman Old Style" w:cs="BookAntiqua-Bold"/>
          <w:bCs/>
        </w:rPr>
        <w:t xml:space="preserve">il totale degli incassi (in conto competenza e in conto residui) e gli </w:t>
      </w:r>
      <w:r w:rsidRPr="00E26867">
        <w:rPr>
          <w:rFonts w:ascii="Bookman Old Style" w:hAnsi="Bookman Old Style" w:cs="BookAntiqua-Bold"/>
          <w:bCs/>
        </w:rPr>
        <w:t xml:space="preserve">accertamenti in conto competenza. </w:t>
      </w:r>
      <w:r>
        <w:rPr>
          <w:rFonts w:ascii="Bookman Old Style" w:hAnsi="Bookman Old Style" w:cs="BookAntiqua-Bold"/>
          <w:bCs/>
        </w:rPr>
        <w:t xml:space="preserve">In questo modo è possibile tener conto in modo semplice dei difformi cicli di riscossione che caratterizzano le diverse entrate e </w:t>
      </w:r>
      <w:r w:rsidR="00094BE9">
        <w:rPr>
          <w:rFonts w:ascii="Bookman Old Style" w:hAnsi="Bookman Old Style" w:cs="BookAntiqua-Bold"/>
          <w:bCs/>
        </w:rPr>
        <w:t>del</w:t>
      </w:r>
      <w:r>
        <w:rPr>
          <w:rFonts w:ascii="Bookman Old Style" w:hAnsi="Bookman Old Style" w:cs="BookAntiqua-Bold"/>
          <w:bCs/>
        </w:rPr>
        <w:t>le diverse velocità di allineamento degli enti locali su più elevati livelli di efficienza nella riscossione.</w:t>
      </w:r>
    </w:p>
    <w:p w:rsidR="0036040D" w:rsidRDefault="0036040D" w:rsidP="0036040D">
      <w:pPr>
        <w:spacing w:after="120" w:line="259" w:lineRule="auto"/>
        <w:jc w:val="both"/>
        <w:rPr>
          <w:rFonts w:ascii="Bookman Old Style" w:hAnsi="Bookman Old Style" w:cs="BookAntiqua-Bold"/>
          <w:bCs/>
        </w:rPr>
      </w:pPr>
      <w:r>
        <w:rPr>
          <w:rFonts w:ascii="Bookman Old Style" w:hAnsi="Bookman Old Style" w:cs="BookAntiqua-Bold"/>
          <w:bCs/>
        </w:rPr>
        <w:t xml:space="preserve">Ancora, il sistema degli enti locali segnala grandi difficoltà relativamente all’applicazione delle modalità di </w:t>
      </w:r>
      <w:r>
        <w:rPr>
          <w:rFonts w:ascii="Bookman Old Style" w:hAnsi="Bookman Old Style" w:cs="BookAntiqua-Bold"/>
          <w:b/>
          <w:bCs/>
        </w:rPr>
        <w:t>accertamento dei contributi a rendicontazione</w:t>
      </w:r>
      <w:r>
        <w:rPr>
          <w:rFonts w:ascii="Bookman Old Style" w:hAnsi="Bookman Old Style" w:cs="BookAntiqua-Bold"/>
          <w:bCs/>
        </w:rPr>
        <w:t xml:space="preserve">. Sul punto si auspica che le amministrazioni centrali </w:t>
      </w:r>
      <w:r w:rsidR="00BE1F8D">
        <w:rPr>
          <w:rFonts w:ascii="Bookman Old Style" w:hAnsi="Bookman Old Style" w:cs="BookAntiqua-Bold"/>
          <w:bCs/>
        </w:rPr>
        <w:t xml:space="preserve">e le Regioni </w:t>
      </w:r>
      <w:r>
        <w:rPr>
          <w:rFonts w:ascii="Bookman Old Style" w:hAnsi="Bookman Old Style" w:cs="BookAntiqua-Bold"/>
          <w:bCs/>
        </w:rPr>
        <w:t>adeguino le modalità di erogazione dei trasferimenti a favore dei Comuni in base al nuovo principio generale della contabilità finanziaria per evitare di costringere gli enti a prefinanziare opere la cui copertura finanziaria è già assicurata</w:t>
      </w:r>
      <w:r w:rsidR="00094BE9">
        <w:rPr>
          <w:rFonts w:ascii="Bookman Old Style" w:hAnsi="Bookman Old Style" w:cs="BookAntiqua-Bold"/>
          <w:bCs/>
        </w:rPr>
        <w:t>, in tutto o in parte,</w:t>
      </w:r>
      <w:r>
        <w:rPr>
          <w:rFonts w:ascii="Bookman Old Style" w:hAnsi="Bookman Old Style" w:cs="BookAntiqua-Bold"/>
          <w:bCs/>
        </w:rPr>
        <w:t xml:space="preserve"> da stanziamenti </w:t>
      </w:r>
      <w:r w:rsidR="00BC0B5C">
        <w:rPr>
          <w:rFonts w:ascii="Bookman Old Style" w:hAnsi="Bookman Old Style" w:cs="BookAntiqua-Bold"/>
          <w:bCs/>
        </w:rPr>
        <w:t>esterni</w:t>
      </w:r>
      <w:r>
        <w:rPr>
          <w:rFonts w:ascii="Bookman Old Style" w:hAnsi="Bookman Old Style" w:cs="BookAntiqua-Bold"/>
          <w:bCs/>
        </w:rPr>
        <w:t xml:space="preserve">. </w:t>
      </w:r>
      <w:r w:rsidR="00BE1F8D">
        <w:rPr>
          <w:rFonts w:ascii="Bookman Old Style" w:hAnsi="Bookman Old Style" w:cs="BookAntiqua-Bold"/>
          <w:bCs/>
        </w:rPr>
        <w:t xml:space="preserve">Anche nel caso di risorse correnti non erogate secondo l’esigibilità degli interventi – spesso di carattere sovracomunale (trasporti, servizi sociali) </w:t>
      </w:r>
      <w:r w:rsidR="00BC0B5C">
        <w:rPr>
          <w:rFonts w:ascii="Bookman Old Style" w:hAnsi="Bookman Old Style" w:cs="BookAntiqua-Bold"/>
          <w:bCs/>
        </w:rPr>
        <w:t xml:space="preserve">– </w:t>
      </w:r>
      <w:r w:rsidR="00BE1F8D">
        <w:rPr>
          <w:rFonts w:ascii="Bookman Old Style" w:hAnsi="Bookman Old Style" w:cs="BookAntiqua-Bold"/>
          <w:bCs/>
        </w:rPr>
        <w:t xml:space="preserve">è necessario che </w:t>
      </w:r>
      <w:r w:rsidR="00BC0B5C">
        <w:rPr>
          <w:rFonts w:ascii="Bookman Old Style" w:hAnsi="Bookman Old Style" w:cs="BookAntiqua-Bold"/>
          <w:bCs/>
        </w:rPr>
        <w:t xml:space="preserve">gli enti erogatori, </w:t>
      </w:r>
      <w:r w:rsidR="00BE1F8D">
        <w:rPr>
          <w:rFonts w:ascii="Bookman Old Style" w:hAnsi="Bookman Old Style" w:cs="BookAntiqua-Bold"/>
          <w:bCs/>
        </w:rPr>
        <w:t>in</w:t>
      </w:r>
      <w:r w:rsidR="00BC0B5C">
        <w:rPr>
          <w:rFonts w:ascii="Bookman Old Style" w:hAnsi="Bookman Old Style" w:cs="BookAntiqua-Bold"/>
          <w:bCs/>
        </w:rPr>
        <w:t xml:space="preserve"> particolare le Regioni, acquisis</w:t>
      </w:r>
      <w:r w:rsidR="00BE1F8D">
        <w:rPr>
          <w:rFonts w:ascii="Bookman Old Style" w:hAnsi="Bookman Old Style" w:cs="BookAntiqua-Bold"/>
          <w:bCs/>
        </w:rPr>
        <w:t xml:space="preserve">cano e rispettino il cronoprogramma di spesa degli enti locali. </w:t>
      </w:r>
      <w:r>
        <w:rPr>
          <w:rFonts w:ascii="Bookman Old Style" w:hAnsi="Bookman Old Style" w:cs="BookAntiqua-Bold"/>
          <w:bCs/>
        </w:rPr>
        <w:t xml:space="preserve">Il mancato adeguamento delle amministrazioni </w:t>
      </w:r>
      <w:r w:rsidR="00BC0B5C">
        <w:rPr>
          <w:rFonts w:ascii="Bookman Old Style" w:hAnsi="Bookman Old Style" w:cs="BookAntiqua-Bold"/>
          <w:bCs/>
        </w:rPr>
        <w:t xml:space="preserve">erogatrici </w:t>
      </w:r>
      <w:r>
        <w:rPr>
          <w:rFonts w:ascii="Bookman Old Style" w:hAnsi="Bookman Old Style" w:cs="BookAntiqua-Bold"/>
          <w:bCs/>
        </w:rPr>
        <w:t xml:space="preserve">rischia di comportare </w:t>
      </w:r>
      <w:r w:rsidR="00BC0B5C">
        <w:rPr>
          <w:rFonts w:ascii="Bookman Old Style" w:hAnsi="Bookman Old Style" w:cs="BookAntiqua-Bold"/>
          <w:bCs/>
        </w:rPr>
        <w:t xml:space="preserve">risultati alterni nella spesa e nei risultati di saldo – con conseguente dissipazione di spazi finanziari altrimenti disponibili – nonché </w:t>
      </w:r>
      <w:r>
        <w:rPr>
          <w:rFonts w:ascii="Bookman Old Style" w:hAnsi="Bookman Old Style" w:cs="BookAntiqua-Bold"/>
          <w:bCs/>
        </w:rPr>
        <w:t xml:space="preserve">un forte rallentamento (e in alcuni casi addirittura l’impossibilità) </w:t>
      </w:r>
      <w:r w:rsidR="00094BE9">
        <w:rPr>
          <w:rFonts w:ascii="Bookman Old Style" w:hAnsi="Bookman Old Style" w:cs="BookAntiqua-Bold"/>
          <w:bCs/>
        </w:rPr>
        <w:t xml:space="preserve">nella realizzazione di </w:t>
      </w:r>
      <w:r>
        <w:rPr>
          <w:rFonts w:ascii="Bookman Old Style" w:hAnsi="Bookman Old Style" w:cs="BookAntiqua-Bold"/>
          <w:bCs/>
        </w:rPr>
        <w:t>investimenti e infrastrutture utili all’economia e al Paese in generale.</w:t>
      </w:r>
    </w:p>
    <w:p w:rsidR="0036040D" w:rsidRPr="00E26867" w:rsidRDefault="0036040D" w:rsidP="0036040D">
      <w:pPr>
        <w:spacing w:after="120" w:line="259" w:lineRule="auto"/>
        <w:jc w:val="both"/>
        <w:rPr>
          <w:rFonts w:ascii="Bookman Old Style" w:hAnsi="Bookman Old Style" w:cs="BookAntiqua-Bold"/>
          <w:bCs/>
        </w:rPr>
      </w:pPr>
      <w:r w:rsidRPr="00E26867">
        <w:rPr>
          <w:rFonts w:ascii="Bookman Old Style" w:hAnsi="Bookman Old Style" w:cs="BookAntiqua-Bold"/>
          <w:bCs/>
        </w:rPr>
        <w:t xml:space="preserve">Inoltre, i nuovi principi contabili affrontano in modo parziale la contabilizzazione delle </w:t>
      </w:r>
      <w:r w:rsidRPr="00E26867">
        <w:rPr>
          <w:rFonts w:ascii="Bookman Old Style" w:hAnsi="Bookman Old Style" w:cs="BookAntiqua-Bold"/>
          <w:b/>
          <w:bCs/>
        </w:rPr>
        <w:t>operazioni di partenariato pubblico privato (PPP)</w:t>
      </w:r>
      <w:r w:rsidRPr="00E26867">
        <w:rPr>
          <w:rFonts w:ascii="Bookman Old Style" w:hAnsi="Bookman Old Style" w:cs="BookAntiqua-Bold"/>
          <w:bCs/>
        </w:rPr>
        <w:t xml:space="preserve">, tendendo a considerare debito tutte le operazioni di leasing finanziario. Manca una disciplina nazionale organica sulla materia e questo lascia ampi spazi di indeterminatezza </w:t>
      </w:r>
      <w:r w:rsidR="00094BE9">
        <w:rPr>
          <w:rFonts w:ascii="Bookman Old Style" w:hAnsi="Bookman Old Style" w:cs="BookAntiqua-Bold"/>
          <w:bCs/>
        </w:rPr>
        <w:t xml:space="preserve">producendo </w:t>
      </w:r>
      <w:r w:rsidRPr="00E26867">
        <w:rPr>
          <w:rFonts w:ascii="Bookman Old Style" w:hAnsi="Bookman Old Style" w:cs="BookAntiqua-Bold"/>
          <w:bCs/>
        </w:rPr>
        <w:t xml:space="preserve">numerose pronunce delle sezioni regionali della Corte dei Conti. È necessario trovare modalità di </w:t>
      </w:r>
      <w:r w:rsidRPr="00E26867">
        <w:rPr>
          <w:rFonts w:ascii="Bookman Old Style" w:hAnsi="Bookman Old Style" w:cs="BookAntiqua-Bold"/>
          <w:bCs/>
        </w:rPr>
        <w:lastRenderedPageBreak/>
        <w:t>contabilizzazione, coerenti con la disciplina comunitaria, che consentano il pieno utilizzo di questi metodi alternativi per realizzare opere pubbliche e infrastrutture grazie all'apporto di capitali di rischio privati, senza che questi investimenti incidano sull'indebitamento del singolo ente e, di conseguenza, su quello generale. Per queste forme di realizzazione delle opere, peraltro, pur essendo disciplinate ed incentivate in interventi di settore (nuovo codice degli appalti), manca un organico coordinamento con la legislazione contabile. </w:t>
      </w:r>
    </w:p>
    <w:p w:rsidR="0036040D" w:rsidRDefault="0036040D" w:rsidP="0036040D">
      <w:pPr>
        <w:spacing w:after="120" w:line="259" w:lineRule="auto"/>
        <w:jc w:val="both"/>
        <w:rPr>
          <w:rFonts w:ascii="Bookman Old Style" w:hAnsi="Bookman Old Style" w:cs="BookAntiqua-Bold"/>
          <w:bCs/>
        </w:rPr>
      </w:pPr>
    </w:p>
    <w:p w:rsidR="00AC5151" w:rsidRPr="002F6518" w:rsidRDefault="00826620" w:rsidP="002F6518">
      <w:pPr>
        <w:pStyle w:val="Titolo1"/>
      </w:pPr>
      <w:bookmarkStart w:id="9" w:name="_Toc480289418"/>
      <w:r w:rsidRPr="002F6518">
        <w:t xml:space="preserve">Le </w:t>
      </w:r>
      <w:r w:rsidR="00490663">
        <w:t>entrate</w:t>
      </w:r>
      <w:r w:rsidRPr="002F6518">
        <w:t xml:space="preserve"> comunali: riforme mancate e perdita di autonomia</w:t>
      </w:r>
      <w:bookmarkEnd w:id="9"/>
    </w:p>
    <w:p w:rsidR="007666A5" w:rsidRDefault="007666A5" w:rsidP="0036040D">
      <w:pPr>
        <w:spacing w:after="120" w:line="259" w:lineRule="auto"/>
        <w:jc w:val="both"/>
        <w:rPr>
          <w:rFonts w:ascii="Bookman Old Style" w:hAnsi="Bookman Old Style"/>
        </w:rPr>
      </w:pPr>
      <w:r>
        <w:rPr>
          <w:rFonts w:ascii="Bookman Old Style" w:hAnsi="Bookman Old Style"/>
        </w:rPr>
        <w:t xml:space="preserve">Le entrate comunali e il regime fiscale locale non sono purtroppo stati oggetto della stessa tensione riformatrice che ha invece investito il campo dei vincoli finanziari. </w:t>
      </w:r>
      <w:r w:rsidRPr="000A3073">
        <w:rPr>
          <w:rFonts w:ascii="Bookman Old Style" w:hAnsi="Bookman Old Style"/>
        </w:rPr>
        <w:t xml:space="preserve">Anche nel </w:t>
      </w:r>
      <w:r w:rsidR="00490663">
        <w:rPr>
          <w:rFonts w:ascii="Bookman Old Style" w:hAnsi="Bookman Old Style"/>
        </w:rPr>
        <w:t xml:space="preserve">DEF 2017 sembra </w:t>
      </w:r>
      <w:r w:rsidRPr="000A3073">
        <w:rPr>
          <w:rFonts w:ascii="Bookman Old Style" w:hAnsi="Bookman Old Style"/>
        </w:rPr>
        <w:t>accantonato il tema della razionalizzazione e riordino dei prelie</w:t>
      </w:r>
      <w:r w:rsidR="00924D34">
        <w:rPr>
          <w:rFonts w:ascii="Bookman Old Style" w:hAnsi="Bookman Old Style"/>
        </w:rPr>
        <w:t>vi local</w:t>
      </w:r>
      <w:r w:rsidR="00490663">
        <w:rPr>
          <w:rFonts w:ascii="Bookman Old Style" w:hAnsi="Bookman Old Style"/>
        </w:rPr>
        <w:t>i</w:t>
      </w:r>
      <w:r w:rsidRPr="000A3073">
        <w:rPr>
          <w:rFonts w:ascii="Bookman Old Style" w:hAnsi="Bookman Old Style"/>
        </w:rPr>
        <w:t>.</w:t>
      </w:r>
      <w:r w:rsidRPr="006A1B16">
        <w:rPr>
          <w:rFonts w:ascii="Bookman Old Style" w:hAnsi="Bookman Old Style"/>
        </w:rPr>
        <w:t xml:space="preserve"> </w:t>
      </w:r>
    </w:p>
    <w:p w:rsidR="00A326BB" w:rsidRDefault="00A326BB" w:rsidP="0036040D">
      <w:pPr>
        <w:spacing w:after="120" w:line="259" w:lineRule="auto"/>
        <w:jc w:val="both"/>
        <w:rPr>
          <w:rFonts w:ascii="Bookman Old Style" w:hAnsi="Bookman Old Style"/>
        </w:rPr>
      </w:pPr>
      <w:r>
        <w:rPr>
          <w:rFonts w:ascii="Bookman Old Style" w:hAnsi="Bookman Old Style"/>
        </w:rPr>
        <w:t xml:space="preserve">Va </w:t>
      </w:r>
      <w:r w:rsidR="00490663">
        <w:rPr>
          <w:rFonts w:ascii="Bookman Old Style" w:hAnsi="Bookman Old Style"/>
        </w:rPr>
        <w:t xml:space="preserve">inoltre </w:t>
      </w:r>
      <w:r>
        <w:rPr>
          <w:rFonts w:ascii="Bookman Old Style" w:hAnsi="Bookman Old Style"/>
        </w:rPr>
        <w:t xml:space="preserve">sottolineato che il blocco </w:t>
      </w:r>
      <w:r w:rsidR="00490663">
        <w:rPr>
          <w:rFonts w:ascii="Bookman Old Style" w:hAnsi="Bookman Old Style"/>
        </w:rPr>
        <w:t xml:space="preserve">della leva fiscale </w:t>
      </w:r>
      <w:r>
        <w:rPr>
          <w:rFonts w:ascii="Bookman Old Style" w:hAnsi="Bookman Old Style"/>
        </w:rPr>
        <w:t xml:space="preserve">colpisce </w:t>
      </w:r>
      <w:r w:rsidR="00C3362A">
        <w:rPr>
          <w:rFonts w:ascii="Bookman Old Style" w:hAnsi="Bookman Old Style"/>
        </w:rPr>
        <w:t xml:space="preserve">dal 2016 </w:t>
      </w:r>
      <w:r>
        <w:rPr>
          <w:rFonts w:ascii="Bookman Old Style" w:hAnsi="Bookman Old Style"/>
        </w:rPr>
        <w:t xml:space="preserve">in particolare quella fascia di enti, in prevalenza medi e piccoli, che negli anni precedenti era riuscita a mantenere la pressione fiscale locale su livelli relativamente bassi e che ora si trova impedita nelle proprie facoltà di manovra. La prosecuzione di questa misura straordinaria per il terzo anno consecutivo costituirebbe un grave </w:t>
      </w:r>
      <w:r w:rsidRPr="00A326BB">
        <w:rPr>
          <w:rFonts w:ascii="Bookman Old Style" w:hAnsi="Bookman Old Style"/>
          <w:i/>
        </w:rPr>
        <w:t>vulnus</w:t>
      </w:r>
      <w:r>
        <w:rPr>
          <w:rFonts w:ascii="Bookman Old Style" w:hAnsi="Bookman Old Style"/>
        </w:rPr>
        <w:t xml:space="preserve"> ad un requisito essenziale dell’autonomia, non solo finanziaria, riconosciuta costituzionalmente.</w:t>
      </w:r>
    </w:p>
    <w:p w:rsidR="00B27DDF" w:rsidRDefault="00B27DDF">
      <w:pPr>
        <w:pStyle w:val="Titolo2"/>
      </w:pPr>
    </w:p>
    <w:p w:rsidR="00AC5151" w:rsidRDefault="00826620">
      <w:pPr>
        <w:pStyle w:val="Titolo2"/>
      </w:pPr>
      <w:bookmarkStart w:id="10" w:name="_Toc480289419"/>
      <w:r>
        <w:t>La riorganizzazione del sistema fiscale</w:t>
      </w:r>
      <w:bookmarkEnd w:id="10"/>
    </w:p>
    <w:p w:rsidR="00F235AF" w:rsidRDefault="00826620" w:rsidP="0036040D">
      <w:pPr>
        <w:spacing w:after="120" w:line="259" w:lineRule="auto"/>
        <w:jc w:val="both"/>
        <w:rPr>
          <w:rFonts w:ascii="Bookman Old Style" w:hAnsi="Bookman Old Style"/>
        </w:rPr>
      </w:pPr>
      <w:r>
        <w:rPr>
          <w:rFonts w:ascii="Bookman Old Style" w:hAnsi="Bookman Old Style"/>
        </w:rPr>
        <w:t xml:space="preserve">La </w:t>
      </w:r>
      <w:r>
        <w:rPr>
          <w:rFonts w:ascii="Bookman Old Style" w:hAnsi="Bookman Old Style"/>
          <w:b/>
        </w:rPr>
        <w:t>riorganizzazione del sistema fiscale</w:t>
      </w:r>
      <w:r>
        <w:rPr>
          <w:rFonts w:ascii="Bookman Old Style" w:hAnsi="Bookman Old Style"/>
        </w:rPr>
        <w:t xml:space="preserve"> resta pertanto un tema aperto alle più diverse soluzioni e cruciale per ristabilire il circuito autonomia-responsabilità nella fiscalità comunale, fortemente degradato a seguito dell’introduzione dell’IMU e del progressivo azzeramento del contributo statale alle risorse dei Comuni. </w:t>
      </w:r>
    </w:p>
    <w:p w:rsidR="004D28B5" w:rsidRDefault="0036040D" w:rsidP="0036040D">
      <w:pPr>
        <w:spacing w:after="120" w:line="259" w:lineRule="auto"/>
        <w:jc w:val="both"/>
        <w:rPr>
          <w:rFonts w:ascii="Bookman Old Style" w:hAnsi="Bookman Old Style"/>
        </w:rPr>
      </w:pPr>
      <w:r>
        <w:rPr>
          <w:rFonts w:ascii="Bookman Old Style" w:hAnsi="Bookman Old Style"/>
        </w:rPr>
        <w:t xml:space="preserve">È auspicabile </w:t>
      </w:r>
      <w:r w:rsidR="004D28B5">
        <w:rPr>
          <w:rFonts w:ascii="Bookman Old Style" w:hAnsi="Bookman Old Style"/>
        </w:rPr>
        <w:t>che sia sollecitamente ri</w:t>
      </w:r>
      <w:r w:rsidR="00826620">
        <w:rPr>
          <w:rFonts w:ascii="Bookman Old Style" w:hAnsi="Bookman Old Style"/>
        </w:rPr>
        <w:t xml:space="preserve">aperto un confronto sulle prospettive di riordino che devono restituire non solo stabilità all’assetto tributario quale presupposto essenziale per l’attuazione di politiche fiscali eque e sostenibili, ma anche </w:t>
      </w:r>
      <w:r w:rsidR="004D28B5">
        <w:rPr>
          <w:rFonts w:ascii="Bookman Old Style" w:hAnsi="Bookman Old Style"/>
        </w:rPr>
        <w:t xml:space="preserve">ripristinare </w:t>
      </w:r>
      <w:r w:rsidR="00826620">
        <w:rPr>
          <w:rFonts w:ascii="Bookman Old Style" w:hAnsi="Bookman Old Style"/>
        </w:rPr>
        <w:t xml:space="preserve">effettivi margini di manovrabilità sulle aliquote e </w:t>
      </w:r>
      <w:r w:rsidR="004D28B5">
        <w:rPr>
          <w:rFonts w:ascii="Bookman Old Style" w:hAnsi="Bookman Old Style"/>
        </w:rPr>
        <w:t xml:space="preserve">introdurre misure di </w:t>
      </w:r>
      <w:r w:rsidR="00826620">
        <w:rPr>
          <w:rFonts w:ascii="Bookman Old Style" w:hAnsi="Bookman Old Style"/>
        </w:rPr>
        <w:t xml:space="preserve">semplificazione di regole e adempimenti, sia </w:t>
      </w:r>
      <w:r w:rsidR="004D28B5">
        <w:rPr>
          <w:rFonts w:ascii="Bookman Old Style" w:hAnsi="Bookman Old Style"/>
        </w:rPr>
        <w:t xml:space="preserve">per i </w:t>
      </w:r>
      <w:r w:rsidR="00826620">
        <w:rPr>
          <w:rFonts w:ascii="Bookman Old Style" w:hAnsi="Bookman Old Style"/>
        </w:rPr>
        <w:t xml:space="preserve">Comuni che </w:t>
      </w:r>
      <w:r w:rsidR="004D28B5">
        <w:rPr>
          <w:rFonts w:ascii="Bookman Old Style" w:hAnsi="Bookman Old Style"/>
        </w:rPr>
        <w:t xml:space="preserve">per i </w:t>
      </w:r>
      <w:r w:rsidR="00826620">
        <w:rPr>
          <w:rFonts w:ascii="Bookman Old Style" w:hAnsi="Bookman Old Style"/>
        </w:rPr>
        <w:t xml:space="preserve">contribuenti. </w:t>
      </w:r>
    </w:p>
    <w:p w:rsidR="00E8134E" w:rsidRPr="00A8265B" w:rsidRDefault="00E8134E" w:rsidP="004D28B5">
      <w:pPr>
        <w:pStyle w:val="NormaleWeb"/>
        <w:spacing w:before="0" w:beforeAutospacing="0" w:after="120" w:afterAutospacing="0" w:line="276" w:lineRule="auto"/>
        <w:jc w:val="both"/>
        <w:rPr>
          <w:rFonts w:ascii="Bookman Old Style" w:eastAsiaTheme="minorHAnsi" w:hAnsi="Bookman Old Style" w:cstheme="minorBidi"/>
          <w:sz w:val="22"/>
          <w:szCs w:val="22"/>
          <w:lang w:eastAsia="en-US"/>
        </w:rPr>
      </w:pPr>
      <w:r w:rsidRPr="00A8265B">
        <w:rPr>
          <w:rFonts w:ascii="Bookman Old Style" w:eastAsiaTheme="minorHAnsi" w:hAnsi="Bookman Old Style" w:cstheme="minorBidi"/>
          <w:sz w:val="22"/>
          <w:szCs w:val="22"/>
          <w:lang w:eastAsia="en-US"/>
        </w:rPr>
        <w:t xml:space="preserve">L’introduzione dell’IMU e l’azzeramento dei trasferimenti statali ai Comuni hanno prodotto un sistema sempre più insostenibile </w:t>
      </w:r>
      <w:r w:rsidR="00A8265B" w:rsidRPr="00A8265B">
        <w:rPr>
          <w:rFonts w:ascii="Bookman Old Style" w:eastAsiaTheme="minorHAnsi" w:hAnsi="Bookman Old Style" w:cstheme="minorBidi"/>
          <w:sz w:val="22"/>
          <w:szCs w:val="22"/>
          <w:lang w:eastAsia="en-US"/>
        </w:rPr>
        <w:t xml:space="preserve">per l’enorme dimensione del riequilibrio delle basi imponibili, cui si è aggiunto il riparto perequativo crescente a partire dal 2015. </w:t>
      </w:r>
      <w:r w:rsidR="00A8265B" w:rsidRPr="00C3362A">
        <w:rPr>
          <w:rFonts w:ascii="Bookman Old Style" w:eastAsiaTheme="minorHAnsi" w:hAnsi="Bookman Old Style" w:cstheme="minorBidi"/>
          <w:b/>
          <w:sz w:val="22"/>
          <w:szCs w:val="22"/>
          <w:lang w:eastAsia="en-US"/>
        </w:rPr>
        <w:t xml:space="preserve">Un sistema anche </w:t>
      </w:r>
      <w:r w:rsidRPr="00C3362A">
        <w:rPr>
          <w:rFonts w:ascii="Bookman Old Style" w:eastAsiaTheme="minorHAnsi" w:hAnsi="Bookman Old Style" w:cstheme="minorBidi"/>
          <w:b/>
          <w:sz w:val="22"/>
          <w:szCs w:val="22"/>
          <w:lang w:eastAsia="en-US"/>
        </w:rPr>
        <w:t>fragile sotto il profilo della legittimità delle scelte</w:t>
      </w:r>
      <w:r w:rsidRPr="00A8265B">
        <w:rPr>
          <w:rFonts w:ascii="Bookman Old Style" w:eastAsiaTheme="minorHAnsi" w:hAnsi="Bookman Old Style" w:cstheme="minorBidi"/>
          <w:sz w:val="22"/>
          <w:szCs w:val="22"/>
          <w:lang w:eastAsia="en-US"/>
        </w:rPr>
        <w:t xml:space="preserve"> via via operate, come dimostrano le ormai numerose sentenze </w:t>
      </w:r>
      <w:r w:rsidR="00A8265B" w:rsidRPr="00A8265B">
        <w:rPr>
          <w:rFonts w:ascii="Bookman Old Style" w:eastAsiaTheme="minorHAnsi" w:hAnsi="Bookman Old Style" w:cstheme="minorBidi"/>
          <w:sz w:val="22"/>
          <w:szCs w:val="22"/>
          <w:lang w:eastAsia="en-US"/>
        </w:rPr>
        <w:t>di diverse giurisdizioni che hanno portato a revisi</w:t>
      </w:r>
      <w:r w:rsidR="00C3362A">
        <w:rPr>
          <w:rFonts w:ascii="Bookman Old Style" w:eastAsiaTheme="minorHAnsi" w:hAnsi="Bookman Old Style" w:cstheme="minorBidi"/>
          <w:sz w:val="22"/>
          <w:szCs w:val="22"/>
          <w:lang w:eastAsia="en-US"/>
        </w:rPr>
        <w:t>oni delle assegnazioni su singo</w:t>
      </w:r>
      <w:r w:rsidR="00A8265B" w:rsidRPr="00A8265B">
        <w:rPr>
          <w:rFonts w:ascii="Bookman Old Style" w:eastAsiaTheme="minorHAnsi" w:hAnsi="Bookman Old Style" w:cstheme="minorBidi"/>
          <w:sz w:val="22"/>
          <w:szCs w:val="22"/>
          <w:lang w:eastAsia="en-US"/>
        </w:rPr>
        <w:t>li enti o sull’intero comparto.</w:t>
      </w:r>
    </w:p>
    <w:p w:rsidR="00E8134E" w:rsidRPr="00A8265B" w:rsidRDefault="00E8134E" w:rsidP="004D28B5">
      <w:pPr>
        <w:pStyle w:val="NormaleWeb"/>
        <w:spacing w:before="0" w:beforeAutospacing="0" w:after="120" w:afterAutospacing="0" w:line="276" w:lineRule="auto"/>
        <w:jc w:val="both"/>
        <w:rPr>
          <w:rFonts w:ascii="Bookman Old Style" w:eastAsiaTheme="minorHAnsi" w:hAnsi="Bookman Old Style" w:cstheme="minorBidi"/>
          <w:sz w:val="22"/>
          <w:szCs w:val="22"/>
          <w:lang w:eastAsia="en-US"/>
        </w:rPr>
      </w:pPr>
      <w:r w:rsidRPr="00A8265B">
        <w:rPr>
          <w:rFonts w:ascii="Bookman Old Style" w:eastAsiaTheme="minorHAnsi" w:hAnsi="Bookman Old Style" w:cstheme="minorBidi"/>
          <w:sz w:val="22"/>
          <w:szCs w:val="22"/>
          <w:lang w:eastAsia="en-US"/>
        </w:rPr>
        <w:t>È neces</w:t>
      </w:r>
      <w:r w:rsidR="00A8265B">
        <w:rPr>
          <w:rFonts w:ascii="Bookman Old Style" w:eastAsiaTheme="minorHAnsi" w:hAnsi="Bookman Old Style" w:cstheme="minorBidi"/>
          <w:sz w:val="22"/>
          <w:szCs w:val="22"/>
          <w:lang w:eastAsia="en-US"/>
        </w:rPr>
        <w:t xml:space="preserve">sario riportare nel dibattito </w:t>
      </w:r>
      <w:r w:rsidRPr="00A8265B">
        <w:rPr>
          <w:rFonts w:ascii="Bookman Old Style" w:eastAsiaTheme="minorHAnsi" w:hAnsi="Bookman Old Style" w:cstheme="minorBidi"/>
          <w:sz w:val="22"/>
          <w:szCs w:val="22"/>
          <w:lang w:eastAsia="en-US"/>
        </w:rPr>
        <w:t>politico e tecnico le esigenze di revisione dell’intero assetto delle entrate, a cominciare dall’</w:t>
      </w:r>
      <w:r w:rsidRPr="00A8265B">
        <w:rPr>
          <w:rFonts w:ascii="Bookman Old Style" w:eastAsiaTheme="minorHAnsi" w:hAnsi="Bookman Old Style" w:cstheme="minorBidi"/>
          <w:b/>
          <w:sz w:val="22"/>
          <w:szCs w:val="22"/>
          <w:lang w:eastAsia="en-US"/>
        </w:rPr>
        <w:t>unificazione dei tributi immobiliari</w:t>
      </w:r>
      <w:r w:rsidRPr="00A8265B">
        <w:rPr>
          <w:rFonts w:ascii="Bookman Old Style" w:eastAsiaTheme="minorHAnsi" w:hAnsi="Bookman Old Style" w:cstheme="minorBidi"/>
          <w:sz w:val="22"/>
          <w:szCs w:val="22"/>
          <w:lang w:eastAsia="en-US"/>
        </w:rPr>
        <w:t xml:space="preserve"> oggi articolati in IMU e Tasi, due tributi che – con l’abolizione del preliev</w:t>
      </w:r>
      <w:r w:rsidR="00D73915">
        <w:rPr>
          <w:rFonts w:ascii="Bookman Old Style" w:eastAsiaTheme="minorHAnsi" w:hAnsi="Bookman Old Style" w:cstheme="minorBidi"/>
          <w:sz w:val="22"/>
          <w:szCs w:val="22"/>
          <w:lang w:eastAsia="en-US"/>
        </w:rPr>
        <w:t xml:space="preserve">o sull’abitazione principale – </w:t>
      </w:r>
      <w:r w:rsidRPr="00A8265B">
        <w:rPr>
          <w:rFonts w:ascii="Bookman Old Style" w:eastAsiaTheme="minorHAnsi" w:hAnsi="Bookman Old Style" w:cstheme="minorBidi"/>
          <w:sz w:val="22"/>
          <w:szCs w:val="22"/>
          <w:lang w:eastAsia="en-US"/>
        </w:rPr>
        <w:t>sono concettualmente indistinguibili.</w:t>
      </w:r>
      <w:r w:rsidR="00A8265B">
        <w:rPr>
          <w:rFonts w:ascii="Bookman Old Style" w:eastAsiaTheme="minorHAnsi" w:hAnsi="Bookman Old Style" w:cstheme="minorBidi"/>
          <w:sz w:val="22"/>
          <w:szCs w:val="22"/>
          <w:lang w:eastAsia="en-US"/>
        </w:rPr>
        <w:t xml:space="preserve"> La separazione IMU-Tasi porta a forti </w:t>
      </w:r>
      <w:r w:rsidR="00A8265B">
        <w:rPr>
          <w:rFonts w:ascii="Bookman Old Style" w:eastAsiaTheme="minorHAnsi" w:hAnsi="Bookman Old Style" w:cstheme="minorBidi"/>
          <w:sz w:val="22"/>
          <w:szCs w:val="22"/>
          <w:lang w:eastAsia="en-US"/>
        </w:rPr>
        <w:lastRenderedPageBreak/>
        <w:t>complicazioni nelle attività amministrative – dalla comunicazione della disciplina stabilita dal Comune, ai controlli – e negli adempimenti dei cittadini. L’unificazione potrebbe essere accompagnata dalla predeterminazione delle facoltà di articolazione dei regimi fiscali che i Comuni possono adottare</w:t>
      </w:r>
      <w:r w:rsidR="00A326BB">
        <w:rPr>
          <w:rFonts w:ascii="Bookman Old Style" w:eastAsiaTheme="minorHAnsi" w:hAnsi="Bookman Old Style" w:cstheme="minorBidi"/>
          <w:sz w:val="22"/>
          <w:szCs w:val="22"/>
          <w:lang w:eastAsia="en-US"/>
        </w:rPr>
        <w:t>, con ulteriore effetto semplificativo.</w:t>
      </w:r>
    </w:p>
    <w:p w:rsidR="00E8134E" w:rsidRPr="00924D34" w:rsidRDefault="00E8134E" w:rsidP="004D28B5">
      <w:pPr>
        <w:pStyle w:val="NormaleWeb"/>
        <w:spacing w:before="0" w:beforeAutospacing="0" w:after="120" w:afterAutospacing="0" w:line="276" w:lineRule="auto"/>
        <w:jc w:val="both"/>
        <w:rPr>
          <w:rFonts w:ascii="Bookman Old Style" w:eastAsiaTheme="minorHAnsi" w:hAnsi="Bookman Old Style" w:cstheme="minorBidi"/>
          <w:sz w:val="22"/>
          <w:szCs w:val="22"/>
          <w:lang w:eastAsia="en-US"/>
        </w:rPr>
      </w:pPr>
      <w:r w:rsidRPr="00924D34">
        <w:rPr>
          <w:rFonts w:ascii="Bookman Old Style" w:eastAsiaTheme="minorHAnsi" w:hAnsi="Bookman Old Style" w:cstheme="minorBidi"/>
          <w:sz w:val="22"/>
          <w:szCs w:val="22"/>
          <w:lang w:eastAsia="en-US"/>
        </w:rPr>
        <w:t xml:space="preserve">Il tema delle compartecipazioni ai tributi erariali </w:t>
      </w:r>
      <w:r w:rsidR="00087039" w:rsidRPr="00924D34">
        <w:rPr>
          <w:rFonts w:ascii="Bookman Old Style" w:eastAsiaTheme="minorHAnsi" w:hAnsi="Bookman Old Style" w:cstheme="minorBidi"/>
          <w:sz w:val="22"/>
          <w:szCs w:val="22"/>
          <w:lang w:eastAsia="en-US"/>
        </w:rPr>
        <w:t xml:space="preserve">potrebbe </w:t>
      </w:r>
      <w:r w:rsidRPr="00924D34">
        <w:rPr>
          <w:rFonts w:ascii="Bookman Old Style" w:eastAsiaTheme="minorHAnsi" w:hAnsi="Bookman Old Style" w:cstheme="minorBidi"/>
          <w:sz w:val="22"/>
          <w:szCs w:val="22"/>
          <w:lang w:eastAsia="en-US"/>
        </w:rPr>
        <w:t>essere ripreso</w:t>
      </w:r>
      <w:r w:rsidR="00A8265B" w:rsidRPr="00924D34">
        <w:rPr>
          <w:rFonts w:ascii="Bookman Old Style" w:eastAsiaTheme="minorHAnsi" w:hAnsi="Bookman Old Style" w:cstheme="minorBidi"/>
          <w:sz w:val="22"/>
          <w:szCs w:val="22"/>
          <w:lang w:eastAsia="en-US"/>
        </w:rPr>
        <w:t xml:space="preserve">, </w:t>
      </w:r>
      <w:r w:rsidR="00087039" w:rsidRPr="00924D34">
        <w:rPr>
          <w:rFonts w:ascii="Bookman Old Style" w:eastAsiaTheme="minorHAnsi" w:hAnsi="Bookman Old Style" w:cstheme="minorBidi"/>
          <w:sz w:val="22"/>
          <w:szCs w:val="22"/>
          <w:lang w:eastAsia="en-US"/>
        </w:rPr>
        <w:t>in chiave di superamento del</w:t>
      </w:r>
      <w:r w:rsidR="00A8265B" w:rsidRPr="00924D34">
        <w:rPr>
          <w:rFonts w:ascii="Bookman Old Style" w:eastAsiaTheme="minorHAnsi" w:hAnsi="Bookman Old Style" w:cstheme="minorBidi"/>
          <w:sz w:val="22"/>
          <w:szCs w:val="22"/>
          <w:lang w:eastAsia="en-US"/>
        </w:rPr>
        <w:t>l’attuale meccanismo di ristoro dei gettiti aboliti</w:t>
      </w:r>
      <w:r w:rsidR="00087039" w:rsidRPr="00924D34">
        <w:rPr>
          <w:rFonts w:ascii="Bookman Old Style" w:eastAsiaTheme="minorHAnsi" w:hAnsi="Bookman Old Style" w:cstheme="minorBidi"/>
          <w:sz w:val="22"/>
          <w:szCs w:val="22"/>
          <w:lang w:eastAsia="en-US"/>
        </w:rPr>
        <w:t>, che ha caratteristiche necessariamente straordinarie.</w:t>
      </w:r>
    </w:p>
    <w:p w:rsidR="004D28B5" w:rsidRDefault="004D28B5" w:rsidP="004D28B5">
      <w:pPr>
        <w:pStyle w:val="NormaleWeb"/>
        <w:spacing w:before="0" w:beforeAutospacing="0" w:after="120" w:afterAutospacing="0" w:line="276" w:lineRule="auto"/>
        <w:jc w:val="both"/>
        <w:rPr>
          <w:rFonts w:ascii="Bookman Old Style" w:eastAsiaTheme="minorHAnsi" w:hAnsi="Bookman Old Style" w:cstheme="minorBidi"/>
          <w:sz w:val="22"/>
          <w:szCs w:val="22"/>
          <w:lang w:eastAsia="en-US"/>
        </w:rPr>
      </w:pPr>
      <w:r w:rsidRPr="00924D34">
        <w:rPr>
          <w:rFonts w:ascii="Bookman Old Style" w:hAnsi="Bookman Old Style"/>
          <w:b/>
          <w:color w:val="222222"/>
          <w:sz w:val="22"/>
          <w:szCs w:val="22"/>
        </w:rPr>
        <w:t>Recuperare l’autonomia</w:t>
      </w:r>
      <w:r w:rsidRPr="00924D34">
        <w:rPr>
          <w:rFonts w:ascii="Bookman Old Style" w:hAnsi="Bookman Old Style"/>
          <w:color w:val="222222"/>
          <w:sz w:val="22"/>
          <w:szCs w:val="22"/>
        </w:rPr>
        <w:t xml:space="preserve"> </w:t>
      </w:r>
      <w:r w:rsidR="00087039" w:rsidRPr="00924D34">
        <w:rPr>
          <w:rFonts w:ascii="Bookman Old Style" w:hAnsi="Bookman Old Style"/>
          <w:b/>
          <w:color w:val="222222"/>
          <w:sz w:val="22"/>
          <w:szCs w:val="22"/>
        </w:rPr>
        <w:t>finanziaria</w:t>
      </w:r>
      <w:r w:rsidR="00087039" w:rsidRPr="00924D34">
        <w:rPr>
          <w:rFonts w:ascii="Bookman Old Style" w:hAnsi="Bookman Old Style"/>
          <w:color w:val="222222"/>
          <w:sz w:val="22"/>
          <w:szCs w:val="22"/>
        </w:rPr>
        <w:t xml:space="preserve"> </w:t>
      </w:r>
      <w:r w:rsidRPr="00924D34">
        <w:rPr>
          <w:rFonts w:ascii="Bookman Old Style" w:hAnsi="Bookman Old Style"/>
          <w:color w:val="222222"/>
          <w:sz w:val="22"/>
          <w:szCs w:val="22"/>
        </w:rPr>
        <w:t>serve a rendere trasparente ai cittadini il rapporto fra prelievo fiscale e finanziament</w:t>
      </w:r>
      <w:r w:rsidR="00087039" w:rsidRPr="00924D34">
        <w:rPr>
          <w:rFonts w:ascii="Bookman Old Style" w:hAnsi="Bookman Old Style"/>
          <w:color w:val="222222"/>
          <w:sz w:val="22"/>
          <w:szCs w:val="22"/>
        </w:rPr>
        <w:t>o</w:t>
      </w:r>
      <w:r w:rsidRPr="00924D34">
        <w:rPr>
          <w:rFonts w:ascii="Bookman Old Style" w:hAnsi="Bookman Old Style"/>
          <w:color w:val="222222"/>
          <w:sz w:val="22"/>
          <w:szCs w:val="22"/>
        </w:rPr>
        <w:t xml:space="preserve"> dei servizi</w:t>
      </w:r>
      <w:r w:rsidR="00087039" w:rsidRPr="00924D34">
        <w:rPr>
          <w:rFonts w:ascii="Bookman Old Style" w:hAnsi="Bookman Old Style"/>
          <w:color w:val="222222"/>
          <w:sz w:val="22"/>
          <w:szCs w:val="22"/>
        </w:rPr>
        <w:t xml:space="preserve"> locali</w:t>
      </w:r>
      <w:r w:rsidRPr="00924D34">
        <w:rPr>
          <w:rFonts w:ascii="Bookman Old Style" w:hAnsi="Bookman Old Style"/>
          <w:color w:val="222222"/>
          <w:sz w:val="22"/>
          <w:szCs w:val="22"/>
        </w:rPr>
        <w:t>, e riaffermare un principio</w:t>
      </w:r>
      <w:r w:rsidRPr="00924D34">
        <w:rPr>
          <w:rFonts w:ascii="Bookman Old Style" w:hAnsi="Bookman Old Style"/>
          <w:sz w:val="22"/>
          <w:szCs w:val="22"/>
        </w:rPr>
        <w:t xml:space="preserve"> </w:t>
      </w:r>
      <w:r w:rsidRPr="00924D34">
        <w:rPr>
          <w:rFonts w:ascii="Bookman Old Style" w:hAnsi="Bookman Old Style"/>
          <w:b/>
          <w:sz w:val="22"/>
          <w:szCs w:val="22"/>
        </w:rPr>
        <w:t>equità</w:t>
      </w:r>
      <w:r w:rsidRPr="00924D34">
        <w:rPr>
          <w:rFonts w:ascii="Bookman Old Style" w:hAnsi="Bookman Old Style"/>
          <w:sz w:val="22"/>
          <w:szCs w:val="22"/>
        </w:rPr>
        <w:t xml:space="preserve">, riferito sia alla necessità che siano garantite parità di condizioni nell’accesso ai servizi sia il giusto livello di contribuzione al loro finanziamento. Pertanto, l’obiettivo di </w:t>
      </w:r>
      <w:r w:rsidRPr="00924D34">
        <w:rPr>
          <w:rFonts w:ascii="Bookman Old Style" w:hAnsi="Bookman Old Style"/>
          <w:b/>
          <w:sz w:val="22"/>
          <w:szCs w:val="22"/>
        </w:rPr>
        <w:t>contenere la</w:t>
      </w:r>
      <w:r w:rsidRPr="00924D34">
        <w:rPr>
          <w:rFonts w:ascii="Bookman Old Style" w:hAnsi="Bookman Old Style"/>
          <w:sz w:val="22"/>
          <w:szCs w:val="22"/>
        </w:rPr>
        <w:t xml:space="preserve"> </w:t>
      </w:r>
      <w:r w:rsidRPr="00924D34">
        <w:rPr>
          <w:rFonts w:ascii="Bookman Old Style" w:hAnsi="Bookman Old Style"/>
          <w:b/>
          <w:sz w:val="22"/>
          <w:szCs w:val="22"/>
        </w:rPr>
        <w:t>pressione fiscale</w:t>
      </w:r>
      <w:r w:rsidRPr="00924D34">
        <w:rPr>
          <w:rFonts w:ascii="Bookman Old Style" w:hAnsi="Bookman Old Style"/>
          <w:sz w:val="22"/>
          <w:szCs w:val="22"/>
        </w:rPr>
        <w:t xml:space="preserve"> deve essere certamente perseguito con tenacia, ma deve essere consentito a ciascun livello di governo di poter attuare politiche fiscali </w:t>
      </w:r>
      <w:r w:rsidR="00087039" w:rsidRPr="00924D34">
        <w:rPr>
          <w:rFonts w:ascii="Bookman Old Style" w:hAnsi="Bookman Old Style"/>
          <w:sz w:val="22"/>
          <w:szCs w:val="22"/>
        </w:rPr>
        <w:t xml:space="preserve">adeguate alle esigenze del </w:t>
      </w:r>
      <w:r w:rsidRPr="00924D34">
        <w:rPr>
          <w:rFonts w:ascii="Bookman Old Style" w:hAnsi="Bookman Old Style"/>
          <w:sz w:val="22"/>
          <w:szCs w:val="22"/>
        </w:rPr>
        <w:t>proprio territorio.</w:t>
      </w:r>
    </w:p>
    <w:p w:rsidR="005E43B2" w:rsidRDefault="005E43B2">
      <w:pPr>
        <w:pStyle w:val="Titolo2"/>
      </w:pPr>
    </w:p>
    <w:p w:rsidR="00AC5151" w:rsidRDefault="00826620">
      <w:pPr>
        <w:pStyle w:val="Titolo2"/>
      </w:pPr>
      <w:bookmarkStart w:id="11" w:name="_Toc480289420"/>
      <w:r>
        <w:t>Imposta di soggiorno</w:t>
      </w:r>
      <w:bookmarkEnd w:id="11"/>
    </w:p>
    <w:p w:rsidR="00AC5151" w:rsidRDefault="004D28B5" w:rsidP="0036040D">
      <w:pPr>
        <w:spacing w:after="120" w:line="259" w:lineRule="auto"/>
        <w:jc w:val="both"/>
        <w:rPr>
          <w:rFonts w:ascii="Bookman Old Style" w:hAnsi="Bookman Old Style"/>
        </w:rPr>
      </w:pPr>
      <w:r>
        <w:rPr>
          <w:rFonts w:ascii="Bookman Old Style" w:hAnsi="Bookman Old Style"/>
        </w:rPr>
        <w:t>L’</w:t>
      </w:r>
      <w:r w:rsidR="00826620">
        <w:rPr>
          <w:rFonts w:ascii="Bookman Old Style" w:hAnsi="Bookman Old Style"/>
        </w:rPr>
        <w:t>annuncio dell'</w:t>
      </w:r>
      <w:r>
        <w:rPr>
          <w:rFonts w:ascii="Bookman Old Style" w:hAnsi="Bookman Old Style"/>
        </w:rPr>
        <w:t xml:space="preserve">estensione della </w:t>
      </w:r>
      <w:r w:rsidR="00826620">
        <w:rPr>
          <w:rFonts w:ascii="Bookman Old Style" w:hAnsi="Bookman Old Style"/>
        </w:rPr>
        <w:t xml:space="preserve">cedolare secca sugli affitti brevi anche per chi effettua prenotazioni elettroniche su </w:t>
      </w:r>
      <w:r w:rsidR="00826620">
        <w:rPr>
          <w:rFonts w:ascii="Bookman Old Style" w:hAnsi="Bookman Old Style"/>
          <w:i/>
        </w:rPr>
        <w:t>community marketplace</w:t>
      </w:r>
      <w:r w:rsidR="00826620">
        <w:rPr>
          <w:rFonts w:ascii="Bookman Old Style" w:hAnsi="Bookman Old Style"/>
        </w:rPr>
        <w:t xml:space="preserve">, su portali web, o sotto altra forma, </w:t>
      </w:r>
      <w:r>
        <w:rPr>
          <w:rFonts w:ascii="Bookman Old Style" w:hAnsi="Bookman Old Style"/>
        </w:rPr>
        <w:t xml:space="preserve">costituisce un importante passo </w:t>
      </w:r>
      <w:r w:rsidR="00826620">
        <w:rPr>
          <w:rFonts w:ascii="Bookman Old Style" w:hAnsi="Bookman Old Style"/>
        </w:rPr>
        <w:t>verso la regolarizzazione fiscale delle locazioni temporanee.</w:t>
      </w:r>
    </w:p>
    <w:p w:rsidR="00AC5151" w:rsidRDefault="00826620" w:rsidP="0036040D">
      <w:pPr>
        <w:spacing w:after="120" w:line="259" w:lineRule="auto"/>
        <w:jc w:val="both"/>
        <w:rPr>
          <w:rFonts w:ascii="Bookman Old Style" w:hAnsi="Bookman Old Style"/>
        </w:rPr>
      </w:pPr>
      <w:r>
        <w:rPr>
          <w:rFonts w:ascii="Bookman Old Style" w:hAnsi="Bookman Old Style"/>
        </w:rPr>
        <w:t xml:space="preserve">Sul tema l’Anci auspica che questa apertura </w:t>
      </w:r>
      <w:r w:rsidR="004D28B5">
        <w:rPr>
          <w:rFonts w:ascii="Bookman Old Style" w:hAnsi="Bookman Old Style"/>
        </w:rPr>
        <w:t xml:space="preserve">porti anche ad una migliore </w:t>
      </w:r>
      <w:r>
        <w:rPr>
          <w:rFonts w:ascii="Bookman Old Style" w:hAnsi="Bookman Old Style"/>
        </w:rPr>
        <w:t xml:space="preserve">definizione della disciplina dell’imposta di soggiorno, la quale ancora </w:t>
      </w:r>
      <w:r>
        <w:rPr>
          <w:rFonts w:ascii="Bookman Old Style" w:hAnsi="Bookman Old Style"/>
          <w:b/>
        </w:rPr>
        <w:t xml:space="preserve">necessita di </w:t>
      </w:r>
      <w:r w:rsidR="00924D34">
        <w:rPr>
          <w:rFonts w:ascii="Bookman Old Style" w:hAnsi="Bookman Old Style"/>
          <w:b/>
        </w:rPr>
        <w:t xml:space="preserve">una compiuta </w:t>
      </w:r>
      <w:r>
        <w:rPr>
          <w:rFonts w:ascii="Bookman Old Style" w:hAnsi="Bookman Old Style"/>
          <w:b/>
        </w:rPr>
        <w:t xml:space="preserve">regolamentazione </w:t>
      </w:r>
      <w:r w:rsidR="004D28B5">
        <w:rPr>
          <w:rFonts w:ascii="Bookman Old Style" w:hAnsi="Bookman Old Style"/>
        </w:rPr>
        <w:t xml:space="preserve">che permetterebbe di superare le </w:t>
      </w:r>
      <w:r>
        <w:rPr>
          <w:rFonts w:ascii="Bookman Old Style" w:hAnsi="Bookman Old Style"/>
        </w:rPr>
        <w:t xml:space="preserve">difficoltà applicative </w:t>
      </w:r>
      <w:r w:rsidR="004D28B5">
        <w:rPr>
          <w:rFonts w:ascii="Bookman Old Style" w:hAnsi="Bookman Old Style"/>
        </w:rPr>
        <w:t xml:space="preserve">ed i </w:t>
      </w:r>
      <w:r>
        <w:rPr>
          <w:rFonts w:ascii="Bookman Old Style" w:hAnsi="Bookman Old Style"/>
        </w:rPr>
        <w:t>rischi di elusione del tributo e di contenzioso tra le categorie più direttamente interessate e i Comuni che hanno deliberato il nuovo tributo secondo le attuali previsioni di legge. In particolare, ad avviso dell’Anci le azioni da intraprendere per una corretta regolamentazione dell’imposta di soggiorno sono le seguenti:</w:t>
      </w:r>
    </w:p>
    <w:p w:rsidR="00AC5151" w:rsidRDefault="00826620" w:rsidP="0036040D">
      <w:pPr>
        <w:spacing w:after="120" w:line="259" w:lineRule="auto"/>
        <w:jc w:val="both"/>
        <w:rPr>
          <w:rFonts w:ascii="Bookman Old Style" w:hAnsi="Bookman Old Style"/>
        </w:rPr>
      </w:pPr>
      <w:r>
        <w:rPr>
          <w:rFonts w:ascii="Bookman Old Style" w:hAnsi="Bookman Old Style"/>
        </w:rPr>
        <w:t xml:space="preserve">- precisazione del ruolo dei gestori delle strutture ricettive quali responsabili del pagamento del tributo con facoltà di rivalsa sul soggetto passivo. Tra i gestori devono essere inclusi anche i soggetti che si occupano di prenotazioni elettroniche su </w:t>
      </w:r>
      <w:r>
        <w:rPr>
          <w:rFonts w:ascii="Bookman Old Style" w:hAnsi="Bookman Old Style"/>
          <w:i/>
        </w:rPr>
        <w:t>community marketplace</w:t>
      </w:r>
      <w:r>
        <w:rPr>
          <w:rFonts w:ascii="Bookman Old Style" w:hAnsi="Bookman Old Style"/>
        </w:rPr>
        <w:t>, su portali web, o sotto altra forma, e che intermediano la transazione finanziaria tra coloro che richiedono alloggio e coloro che offrono alloggio;</w:t>
      </w:r>
    </w:p>
    <w:p w:rsidR="00AC5151" w:rsidRDefault="00826620" w:rsidP="0036040D">
      <w:pPr>
        <w:spacing w:after="120" w:line="259" w:lineRule="auto"/>
        <w:jc w:val="both"/>
        <w:rPr>
          <w:rFonts w:ascii="Bookman Old Style" w:hAnsi="Bookman Old Style"/>
        </w:rPr>
      </w:pPr>
      <w:r>
        <w:rPr>
          <w:rFonts w:ascii="Bookman Old Style" w:hAnsi="Bookman Old Style"/>
        </w:rPr>
        <w:t>-  applicabilità delle norme di rilievo generale alla gestione dell’imposta (accertamento, riscossione, rimborsi e sanzioni);</w:t>
      </w:r>
    </w:p>
    <w:p w:rsidR="00AC5151" w:rsidRDefault="00826620" w:rsidP="0036040D">
      <w:pPr>
        <w:spacing w:after="120" w:line="259" w:lineRule="auto"/>
        <w:jc w:val="both"/>
        <w:rPr>
          <w:rFonts w:ascii="Bookman Old Style" w:hAnsi="Bookman Old Style"/>
        </w:rPr>
      </w:pPr>
      <w:r>
        <w:rPr>
          <w:rFonts w:ascii="Bookman Old Style" w:hAnsi="Bookman Old Style"/>
        </w:rPr>
        <w:t>-  estensione a tutti i Comuni della facoltà di adozione del tributo, superando difficoltà applicative dovute alla precedente indicazione delle Unioni di Comuni quali possibili soggetti attivi e alla limitazione ai Comuni turistici o città d’arte sulla base di “elenchi regionali” che in molt</w:t>
      </w:r>
      <w:r w:rsidR="003229DB">
        <w:rPr>
          <w:rFonts w:ascii="Bookman Old Style" w:hAnsi="Bookman Old Style"/>
        </w:rPr>
        <w:t xml:space="preserve">i casi </w:t>
      </w:r>
      <w:r>
        <w:rPr>
          <w:rFonts w:ascii="Bookman Old Style" w:hAnsi="Bookman Old Style"/>
        </w:rPr>
        <w:t>non risultano deliberati;</w:t>
      </w:r>
    </w:p>
    <w:p w:rsidR="00AC5151" w:rsidRDefault="00826620" w:rsidP="0036040D">
      <w:pPr>
        <w:spacing w:after="120" w:line="259" w:lineRule="auto"/>
        <w:jc w:val="both"/>
        <w:rPr>
          <w:rFonts w:ascii="Bookman Old Style" w:hAnsi="Bookman Old Style"/>
        </w:rPr>
      </w:pPr>
      <w:r>
        <w:rPr>
          <w:rFonts w:ascii="Bookman Old Style" w:hAnsi="Bookman Old Style"/>
        </w:rPr>
        <w:lastRenderedPageBreak/>
        <w:t>Tali modifiche consentirebbero ai Comuni di poter deliberare sulla base di un quadro normativo di riferimento certo ed ancorato alla disciplina generale delle entrate tributarie degli enti locali.</w:t>
      </w:r>
    </w:p>
    <w:p w:rsidR="00AC5151" w:rsidRDefault="00087039" w:rsidP="0036040D">
      <w:pPr>
        <w:spacing w:after="120" w:line="259" w:lineRule="auto"/>
        <w:jc w:val="both"/>
        <w:rPr>
          <w:rFonts w:ascii="Bookman Old Style" w:hAnsi="Bookman Old Style"/>
        </w:rPr>
      </w:pPr>
      <w:r>
        <w:rPr>
          <w:rFonts w:ascii="Bookman Old Style" w:hAnsi="Bookman Old Style"/>
        </w:rPr>
        <w:t xml:space="preserve">Le caratteristiche particolari dell’imposta di soggiorno e di altri prelievi minori (pubblicità, occupazione spazi pubblici) hanno portato l’Anci a chiedere tra il 2016 e il 2017 </w:t>
      </w:r>
      <w:r w:rsidR="00826620">
        <w:rPr>
          <w:rFonts w:ascii="Bookman Old Style" w:hAnsi="Bookman Old Style"/>
        </w:rPr>
        <w:t>l’</w:t>
      </w:r>
      <w:r w:rsidR="00826620">
        <w:rPr>
          <w:rFonts w:ascii="Bookman Old Style" w:hAnsi="Bookman Old Style"/>
          <w:b/>
        </w:rPr>
        <w:t>esclusione dal blocco delle aliquote dei tributi</w:t>
      </w:r>
      <w:r w:rsidR="00826620">
        <w:rPr>
          <w:rFonts w:ascii="Bookman Old Style" w:hAnsi="Bookman Old Style"/>
        </w:rPr>
        <w:t>. I proventi der</w:t>
      </w:r>
      <w:r>
        <w:rPr>
          <w:rFonts w:ascii="Bookman Old Style" w:hAnsi="Bookman Old Style"/>
        </w:rPr>
        <w:t>ivanti dall’imposta di soggiorno, in particolare</w:t>
      </w:r>
      <w:r w:rsidR="00826620">
        <w:rPr>
          <w:rFonts w:ascii="Bookman Old Style" w:hAnsi="Bookman Old Style"/>
        </w:rPr>
        <w:t>, incidono solo indirettamente sulla pressione fiscale gravante su cittadini e imprese e permettono di finanziare opere pubbliche senza ricorrere all’indebitamento, consentendo così di sostenere le infrastrutture locali a beneficio dell’attrattività turistica.</w:t>
      </w:r>
    </w:p>
    <w:p w:rsidR="00AC5151" w:rsidRDefault="00AC5151" w:rsidP="0036040D">
      <w:pPr>
        <w:spacing w:after="120" w:line="259" w:lineRule="auto"/>
        <w:jc w:val="both"/>
        <w:rPr>
          <w:rFonts w:ascii="Bookman Old Style" w:hAnsi="Bookman Old Style"/>
          <w:b/>
          <w:i/>
        </w:rPr>
      </w:pPr>
    </w:p>
    <w:p w:rsidR="00AC5151" w:rsidRDefault="00826620">
      <w:pPr>
        <w:pStyle w:val="Titolo2"/>
      </w:pPr>
      <w:bookmarkStart w:id="12" w:name="_Toc480289421"/>
      <w:r>
        <w:t>Il Fondo di solidarietà 2017 e la quota perequativa</w:t>
      </w:r>
      <w:bookmarkEnd w:id="12"/>
    </w:p>
    <w:p w:rsidR="00087039" w:rsidRDefault="005E43B2" w:rsidP="0036040D">
      <w:pPr>
        <w:spacing w:after="120" w:line="259" w:lineRule="auto"/>
        <w:jc w:val="both"/>
        <w:rPr>
          <w:rFonts w:ascii="Bookman Old Style" w:hAnsi="Bookman Old Style"/>
        </w:rPr>
      </w:pPr>
      <w:r>
        <w:rPr>
          <w:rFonts w:ascii="Bookman Old Style" w:hAnsi="Bookman Old Style"/>
        </w:rPr>
        <w:t>La legge di bilancio 2017</w:t>
      </w:r>
      <w:r w:rsidR="00826620">
        <w:rPr>
          <w:rFonts w:ascii="Bookman Old Style" w:hAnsi="Bookman Old Style"/>
        </w:rPr>
        <w:t xml:space="preserve"> </w:t>
      </w:r>
      <w:r>
        <w:rPr>
          <w:rFonts w:ascii="Bookman Old Style" w:hAnsi="Bookman Old Style"/>
        </w:rPr>
        <w:t xml:space="preserve">contiene la revisione delle norme sulla perequazione, unitamente ad </w:t>
      </w:r>
      <w:r w:rsidR="00826620">
        <w:rPr>
          <w:rFonts w:ascii="Bookman Old Style" w:hAnsi="Bookman Old Style"/>
        </w:rPr>
        <w:t>un criterio correttivo</w:t>
      </w:r>
      <w:r>
        <w:rPr>
          <w:rFonts w:ascii="Bookman Old Style" w:hAnsi="Bookman Old Style"/>
        </w:rPr>
        <w:t xml:space="preserve"> </w:t>
      </w:r>
      <w:r w:rsidR="00826620">
        <w:rPr>
          <w:rFonts w:ascii="Bookman Old Style" w:hAnsi="Bookman Old Style"/>
        </w:rPr>
        <w:t>a mitigazione degli effetti perequativi che per alcuni Comuni comportava effetti di distribuzione del FSC 2017 molto penalizzanti</w:t>
      </w:r>
      <w:r w:rsidR="00087039">
        <w:rPr>
          <w:rFonts w:ascii="Bookman Old Style" w:hAnsi="Bookman Old Style"/>
        </w:rPr>
        <w:t>, ma calibrato su percentuali di correzione (+/- 8%) del tutto inefficaci</w:t>
      </w:r>
      <w:r w:rsidR="00826620">
        <w:rPr>
          <w:rFonts w:ascii="Bookman Old Style" w:hAnsi="Bookman Old Style"/>
        </w:rPr>
        <w:t xml:space="preserve">. </w:t>
      </w:r>
    </w:p>
    <w:p w:rsidR="00087039" w:rsidRDefault="00826620" w:rsidP="0036040D">
      <w:pPr>
        <w:spacing w:after="120" w:line="259" w:lineRule="auto"/>
        <w:jc w:val="both"/>
        <w:rPr>
          <w:rFonts w:ascii="Bookman Old Style" w:hAnsi="Bookman Old Style"/>
        </w:rPr>
      </w:pPr>
      <w:r>
        <w:rPr>
          <w:rFonts w:ascii="Bookman Old Style" w:hAnsi="Bookman Old Style"/>
        </w:rPr>
        <w:t>Il nuov</w:t>
      </w:r>
      <w:r w:rsidR="00087039">
        <w:rPr>
          <w:rFonts w:ascii="Bookman Old Style" w:hAnsi="Bookman Old Style"/>
        </w:rPr>
        <w:t xml:space="preserve">o meccanismo </w:t>
      </w:r>
      <w:r>
        <w:rPr>
          <w:rFonts w:ascii="Bookman Old Style" w:hAnsi="Bookman Old Style"/>
        </w:rPr>
        <w:t>app</w:t>
      </w:r>
      <w:r w:rsidR="00C3362A">
        <w:rPr>
          <w:rFonts w:ascii="Bookman Old Style" w:hAnsi="Bookman Old Style"/>
        </w:rPr>
        <w:t>rovato nella Conferenza Stato-</w:t>
      </w:r>
      <w:r w:rsidR="00087039">
        <w:rPr>
          <w:rFonts w:ascii="Bookman Old Style" w:hAnsi="Bookman Old Style"/>
        </w:rPr>
        <w:t>C</w:t>
      </w:r>
      <w:r>
        <w:rPr>
          <w:rFonts w:ascii="Bookman Old Style" w:hAnsi="Bookman Old Style"/>
        </w:rPr>
        <w:t xml:space="preserve">ittà del 19 gennaio scorso, </w:t>
      </w:r>
      <w:r w:rsidR="00087039">
        <w:rPr>
          <w:rFonts w:ascii="Bookman Old Style" w:hAnsi="Bookman Old Style"/>
        </w:rPr>
        <w:t xml:space="preserve">modifica il correttivo individuando soglie più realistiche (+ / - 4%) ed </w:t>
      </w:r>
      <w:r>
        <w:rPr>
          <w:rFonts w:ascii="Bookman Old Style" w:hAnsi="Bookman Old Style"/>
        </w:rPr>
        <w:t>assegna a tutto il comparto circa 25 milioni di risorse aggiuntive</w:t>
      </w:r>
      <w:r w:rsidR="00087039">
        <w:rPr>
          <w:rFonts w:ascii="Bookman Old Style" w:hAnsi="Bookman Old Style"/>
        </w:rPr>
        <w:t xml:space="preserve">, </w:t>
      </w:r>
      <w:r>
        <w:rPr>
          <w:rFonts w:ascii="Bookman Old Style" w:hAnsi="Bookman Old Style"/>
        </w:rPr>
        <w:t>coinvolge</w:t>
      </w:r>
      <w:r w:rsidR="00087039">
        <w:rPr>
          <w:rFonts w:ascii="Bookman Old Style" w:hAnsi="Bookman Old Style"/>
        </w:rPr>
        <w:t>ndo un numero rilevante di Comuni. L’accordo deve essere recepito con il provvedimento di correzione dei conti pubblici deciso la scorsa settimana dal Governo</w:t>
      </w:r>
      <w:r w:rsidR="00A37662">
        <w:rPr>
          <w:rFonts w:ascii="Bookman Old Style" w:hAnsi="Bookman Old Style"/>
        </w:rPr>
        <w:t xml:space="preserve"> e l’introduzione del comma 450-</w:t>
      </w:r>
      <w:r w:rsidR="00A37662" w:rsidRPr="00A37662">
        <w:rPr>
          <w:rFonts w:ascii="Bookman Old Style" w:hAnsi="Bookman Old Style"/>
          <w:i/>
        </w:rPr>
        <w:t>bis</w:t>
      </w:r>
      <w:r w:rsidR="00A37662">
        <w:rPr>
          <w:rFonts w:ascii="Bookman Old Style" w:hAnsi="Bookman Old Style"/>
        </w:rPr>
        <w:t xml:space="preserve"> nella Legge di bilancio 2017</w:t>
      </w:r>
      <w:r w:rsidR="00087039">
        <w:rPr>
          <w:rFonts w:ascii="Bookman Old Style" w:hAnsi="Bookman Old Style"/>
        </w:rPr>
        <w:t>.</w:t>
      </w:r>
    </w:p>
    <w:p w:rsidR="00AC5151" w:rsidRDefault="00087039" w:rsidP="0036040D">
      <w:pPr>
        <w:spacing w:after="120" w:line="259" w:lineRule="auto"/>
        <w:jc w:val="both"/>
        <w:rPr>
          <w:rFonts w:ascii="Bookman Old Style" w:hAnsi="Bookman Old Style"/>
        </w:rPr>
      </w:pPr>
      <w:r>
        <w:rPr>
          <w:rFonts w:ascii="Bookman Old Style" w:hAnsi="Bookman Old Style"/>
        </w:rPr>
        <w:t>T</w:t>
      </w:r>
      <w:r w:rsidR="00826620">
        <w:rPr>
          <w:rFonts w:ascii="Bookman Old Style" w:hAnsi="Bookman Old Style"/>
        </w:rPr>
        <w:t>uttavia, l’incisività della mitigazione delle penalizzazioni è più debole rispetto agli analoghi dispositivi attivati nel 2015 e nel 2016. Ad esempio, nel 2016, a fronte di una perequazione limitata al 30% delle risorse, sono stati erogati complessivamente 49 milioni di euro</w:t>
      </w:r>
      <w:r w:rsidR="00BD12B6">
        <w:rPr>
          <w:rFonts w:ascii="Bookman Old Style" w:hAnsi="Bookman Old Style"/>
        </w:rPr>
        <w:t xml:space="preserve">, </w:t>
      </w:r>
      <w:r>
        <w:rPr>
          <w:rFonts w:ascii="Bookman Old Style" w:hAnsi="Bookman Old Style"/>
        </w:rPr>
        <w:t>mentre per il 2017, compreso il correttivo statistico di prossima formalizzazione, la mitigazione della perequazione può contare su circa 34 milioni di euro con un livello di perequazione aumentato al 40%</w:t>
      </w:r>
      <w:r w:rsidR="00826620">
        <w:rPr>
          <w:rFonts w:ascii="Bookman Old Style" w:hAnsi="Bookman Old Style"/>
        </w:rPr>
        <w:t>.</w:t>
      </w:r>
    </w:p>
    <w:p w:rsidR="00AC5151" w:rsidRDefault="00826620" w:rsidP="0036040D">
      <w:pPr>
        <w:spacing w:after="120" w:line="259" w:lineRule="auto"/>
        <w:jc w:val="both"/>
        <w:rPr>
          <w:rFonts w:ascii="Bookman Old Style" w:hAnsi="Bookman Old Style"/>
        </w:rPr>
      </w:pPr>
      <w:r>
        <w:rPr>
          <w:rFonts w:ascii="Bookman Old Style" w:hAnsi="Bookman Old Style"/>
        </w:rPr>
        <w:t xml:space="preserve">In questo contesto, l’Anci ritiene necessario valutare l’opportunità di attivare un </w:t>
      </w:r>
      <w:r>
        <w:rPr>
          <w:rFonts w:ascii="Bookman Old Style" w:hAnsi="Bookman Old Style"/>
          <w:b/>
        </w:rPr>
        <w:t>ulteriore canale di sostegno</w:t>
      </w:r>
      <w:r>
        <w:rPr>
          <w:rFonts w:ascii="Bookman Old Style" w:hAnsi="Bookman Old Style"/>
        </w:rPr>
        <w:t xml:space="preserve"> al fine di comprendere nello schema perequativo anche quella fascia di enti che risultano penalizzati fino al -4% e quindi perdono risorse di rilievo rispetto al 2016, ma le cui condizioni risultano solo formalmente “migliori”</w:t>
      </w:r>
      <w:r w:rsidR="00A37662">
        <w:rPr>
          <w:rFonts w:ascii="Bookman Old Style" w:hAnsi="Bookman Old Style"/>
        </w:rPr>
        <w:t xml:space="preserve"> alla luce delle ulteriori condizioni richieste dal previsto comma 450-</w:t>
      </w:r>
      <w:r w:rsidR="00A37662" w:rsidRPr="00C3362A">
        <w:rPr>
          <w:rFonts w:ascii="Bookman Old Style" w:hAnsi="Bookman Old Style"/>
          <w:i/>
        </w:rPr>
        <w:t>bis</w:t>
      </w:r>
      <w:r w:rsidR="00A37662">
        <w:rPr>
          <w:rFonts w:ascii="Bookman Old Style" w:hAnsi="Bookman Old Style"/>
        </w:rPr>
        <w:t xml:space="preserve">, </w:t>
      </w:r>
      <w:r w:rsidR="00A37662" w:rsidRPr="00A37662">
        <w:rPr>
          <w:rFonts w:ascii="Bookman Old Style" w:hAnsi="Bookman Old Style"/>
        </w:rPr>
        <w:t>per</w:t>
      </w:r>
      <w:r w:rsidR="00A37662">
        <w:rPr>
          <w:rFonts w:ascii="Bookman Old Style" w:hAnsi="Bookman Old Style"/>
        </w:rPr>
        <w:t xml:space="preserve"> l’accesso all’assegnazione integrativa</w:t>
      </w:r>
      <w:r>
        <w:rPr>
          <w:rFonts w:ascii="Bookman Old Style" w:hAnsi="Bookman Old Style"/>
        </w:rPr>
        <w:t>.</w:t>
      </w:r>
    </w:p>
    <w:p w:rsidR="00BD12B6" w:rsidRDefault="00BD12B6" w:rsidP="0036040D">
      <w:pPr>
        <w:spacing w:after="120" w:line="259" w:lineRule="auto"/>
        <w:jc w:val="both"/>
        <w:rPr>
          <w:rFonts w:ascii="Bookman Old Style" w:hAnsi="Bookman Old Style"/>
        </w:rPr>
      </w:pPr>
    </w:p>
    <w:p w:rsidR="00AC5151" w:rsidRDefault="00826620">
      <w:pPr>
        <w:pStyle w:val="Titolo2"/>
      </w:pPr>
      <w:bookmarkStart w:id="13" w:name="_Toc480289422"/>
      <w:r>
        <w:t xml:space="preserve">Sentenze giurisdizionali </w:t>
      </w:r>
      <w:r w:rsidR="00B27DDF">
        <w:t>sugli interventi di determinazione e riparto del</w:t>
      </w:r>
      <w:r>
        <w:t>le risorse comunali</w:t>
      </w:r>
      <w:bookmarkEnd w:id="13"/>
    </w:p>
    <w:p w:rsidR="00AC5151" w:rsidRDefault="003229DB" w:rsidP="0036040D">
      <w:pPr>
        <w:spacing w:after="120" w:line="259" w:lineRule="auto"/>
        <w:jc w:val="both"/>
        <w:rPr>
          <w:rFonts w:ascii="Bookman Old Style" w:hAnsi="Bookman Old Style"/>
        </w:rPr>
      </w:pPr>
      <w:r>
        <w:rPr>
          <w:rFonts w:ascii="Bookman Old Style" w:hAnsi="Bookman Old Style"/>
        </w:rPr>
        <w:t xml:space="preserve">Sono ormai </w:t>
      </w:r>
      <w:r w:rsidR="00826620">
        <w:rPr>
          <w:rFonts w:ascii="Bookman Old Style" w:hAnsi="Bookman Old Style"/>
        </w:rPr>
        <w:t xml:space="preserve">numerose </w:t>
      </w:r>
      <w:r>
        <w:rPr>
          <w:rFonts w:ascii="Bookman Old Style" w:hAnsi="Bookman Old Style"/>
        </w:rPr>
        <w:t xml:space="preserve">le </w:t>
      </w:r>
      <w:r w:rsidR="00826620">
        <w:rPr>
          <w:rFonts w:ascii="Bookman Old Style" w:hAnsi="Bookman Old Style"/>
        </w:rPr>
        <w:t>pronunce giurisprudenziali favorevoli agli enti locali riguardanti l’illegittimità di diversi provvedimenti legislativi e ministeriali relativi all’assegnazione di risorse ai Comuni.</w:t>
      </w:r>
      <w:r w:rsidR="00BD12B6">
        <w:rPr>
          <w:rFonts w:ascii="Bookman Old Style" w:hAnsi="Bookman Old Style"/>
        </w:rPr>
        <w:t xml:space="preserve"> </w:t>
      </w:r>
      <w:r w:rsidR="00826620">
        <w:rPr>
          <w:rFonts w:ascii="Bookman Old Style" w:hAnsi="Bookman Old Style"/>
        </w:rPr>
        <w:t xml:space="preserve">Alcuni </w:t>
      </w:r>
      <w:r w:rsidR="00BD12B6">
        <w:rPr>
          <w:rFonts w:ascii="Bookman Old Style" w:hAnsi="Bookman Old Style"/>
        </w:rPr>
        <w:t xml:space="preserve">punti </w:t>
      </w:r>
      <w:r w:rsidR="00826620">
        <w:rPr>
          <w:rFonts w:ascii="Bookman Old Style" w:hAnsi="Bookman Old Style"/>
        </w:rPr>
        <w:t>hanno trovato una soluzione nel pacchetto “legge di bilancio 2017”, mentre altr</w:t>
      </w:r>
      <w:r w:rsidR="00BD12B6">
        <w:rPr>
          <w:rFonts w:ascii="Bookman Old Style" w:hAnsi="Bookman Old Style"/>
        </w:rPr>
        <w:t>i</w:t>
      </w:r>
      <w:r w:rsidR="00826620">
        <w:rPr>
          <w:rFonts w:ascii="Bookman Old Style" w:hAnsi="Bookman Old Style"/>
        </w:rPr>
        <w:t xml:space="preserve"> restano in attesa di definizione.</w:t>
      </w:r>
    </w:p>
    <w:p w:rsidR="00AC5151" w:rsidRDefault="00826620" w:rsidP="0036040D">
      <w:pPr>
        <w:spacing w:after="120" w:line="259" w:lineRule="auto"/>
        <w:jc w:val="both"/>
        <w:rPr>
          <w:rFonts w:ascii="Bookman Old Style" w:hAnsi="Bookman Old Style"/>
        </w:rPr>
      </w:pPr>
      <w:r>
        <w:rPr>
          <w:rFonts w:ascii="Bookman Old Style" w:hAnsi="Bookman Old Style"/>
        </w:rPr>
        <w:lastRenderedPageBreak/>
        <w:t>In particolare, è stato attribuito ai Comuni un contributo, pari a circa 290 milioni di euro, da distribuire in dieci anni per il ristoro degli arretrati dovuti per l’abolizione del cd. “</w:t>
      </w:r>
      <w:r>
        <w:rPr>
          <w:rFonts w:ascii="Bookman Old Style" w:hAnsi="Bookman Old Style"/>
          <w:i/>
        </w:rPr>
        <w:t xml:space="preserve">check </w:t>
      </w:r>
      <w:r>
        <w:rPr>
          <w:rFonts w:ascii="Bookman Old Style" w:hAnsi="Bookman Old Style"/>
        </w:rPr>
        <w:t>di coerenza”</w:t>
      </w:r>
      <w:r w:rsidR="00BD12B6">
        <w:rPr>
          <w:rFonts w:ascii="Bookman Old Style" w:hAnsi="Bookman Old Style"/>
        </w:rPr>
        <w:t xml:space="preserve"> applicato dal Mef nel calcolo del prelievo compensativo al passaggio dall’ICI all’IMU del 2012</w:t>
      </w:r>
      <w:r>
        <w:rPr>
          <w:rFonts w:ascii="Bookman Old Style" w:hAnsi="Bookman Old Style"/>
        </w:rPr>
        <w:t>,  derivante dalla sentenza del Con</w:t>
      </w:r>
      <w:r w:rsidR="00BD12B6">
        <w:rPr>
          <w:rFonts w:ascii="Bookman Old Style" w:hAnsi="Bookman Old Style"/>
        </w:rPr>
        <w:t>siglio di Stato n.5008 del 2015</w:t>
      </w:r>
      <w:r>
        <w:rPr>
          <w:rFonts w:ascii="Bookman Old Style" w:hAnsi="Bookman Old Style"/>
        </w:rPr>
        <w:t>. Il contributo spetterà a circa 3.100 enti.</w:t>
      </w:r>
    </w:p>
    <w:p w:rsidR="00AC5151" w:rsidRDefault="00BD12B6" w:rsidP="0036040D">
      <w:pPr>
        <w:spacing w:after="120" w:line="259" w:lineRule="auto"/>
        <w:jc w:val="both"/>
        <w:rPr>
          <w:rFonts w:ascii="Bookman Old Style" w:hAnsi="Bookman Old Style"/>
        </w:rPr>
      </w:pPr>
      <w:r>
        <w:rPr>
          <w:rFonts w:ascii="Bookman Old Style" w:hAnsi="Bookman Old Style"/>
        </w:rPr>
        <w:t xml:space="preserve">Una soluzione parziale riguarda il </w:t>
      </w:r>
      <w:r w:rsidR="00826620">
        <w:rPr>
          <w:rFonts w:ascii="Bookman Old Style" w:hAnsi="Bookman Old Style"/>
        </w:rPr>
        <w:t xml:space="preserve">contributo concesso ai Comuni sedi di uffici giudiziari, quantificato in 300 milioni di euro </w:t>
      </w:r>
      <w:r>
        <w:rPr>
          <w:rFonts w:ascii="Bookman Old Style" w:hAnsi="Bookman Old Style"/>
        </w:rPr>
        <w:t xml:space="preserve">(a fronte di crediti pari a circa 650 milioni), che verrà erogato </w:t>
      </w:r>
      <w:r w:rsidR="00826620">
        <w:rPr>
          <w:rFonts w:ascii="Bookman Old Style" w:hAnsi="Bookman Old Style"/>
        </w:rPr>
        <w:t>in 30 rate annuali di 10 milioni ciascuna</w:t>
      </w:r>
      <w:r>
        <w:rPr>
          <w:rFonts w:ascii="Bookman Old Style" w:hAnsi="Bookman Old Style"/>
        </w:rPr>
        <w:t>, a fronte della rinuncia a qualsiasi contenzioso</w:t>
      </w:r>
      <w:r w:rsidR="00826620">
        <w:rPr>
          <w:rFonts w:ascii="Bookman Old Style" w:hAnsi="Bookman Old Style"/>
        </w:rPr>
        <w:t>. La soluzione, contenuta anch’essa nel pacchetto “legge di bilancio”, non è certamente risolutiva e necessita</w:t>
      </w:r>
      <w:r>
        <w:rPr>
          <w:rFonts w:ascii="Bookman Old Style" w:hAnsi="Bookman Old Style"/>
        </w:rPr>
        <w:t xml:space="preserve"> inoltre</w:t>
      </w:r>
      <w:r w:rsidR="00826620">
        <w:rPr>
          <w:rFonts w:ascii="Bookman Old Style" w:hAnsi="Bookman Old Style"/>
        </w:rPr>
        <w:t>, ad avviso dell’Anci, di una norma che garantisca un equilibrato rientro nella gestione dei residui iscritti in bilancio da parte dei Comuni.</w:t>
      </w:r>
    </w:p>
    <w:p w:rsidR="00AC5151" w:rsidRDefault="00826620" w:rsidP="0036040D">
      <w:pPr>
        <w:spacing w:after="120" w:line="259" w:lineRule="auto"/>
        <w:jc w:val="both"/>
        <w:rPr>
          <w:rFonts w:ascii="Bookman Old Style" w:hAnsi="Bookman Old Style"/>
        </w:rPr>
      </w:pPr>
      <w:r>
        <w:rPr>
          <w:rFonts w:ascii="Bookman Old Style" w:hAnsi="Bookman Old Style"/>
        </w:rPr>
        <w:t>E’ stato poi previsto un contributo di 58 milioni di euro da attribuire ai Comuni a parziale ristoro della perdita di gettito subita nel 2015 per gli scostamenti del gettito effettivo dell’IMU sui terreni agricoli montani rispetto a quello stimato dal Mef</w:t>
      </w:r>
      <w:r w:rsidR="00BD12B6">
        <w:rPr>
          <w:rFonts w:ascii="Bookman Old Style" w:hAnsi="Bookman Old Style"/>
        </w:rPr>
        <w:t>. Un contributo di importo simile era peraltro stato erogato negli scorsi anni per l’analoga perdita di gettito riferita al 2014</w:t>
      </w:r>
      <w:r>
        <w:rPr>
          <w:rFonts w:ascii="Bookman Old Style" w:hAnsi="Bookman Old Style"/>
        </w:rPr>
        <w:t>.</w:t>
      </w:r>
    </w:p>
    <w:p w:rsidR="00AC5151" w:rsidRDefault="00826620" w:rsidP="0036040D">
      <w:pPr>
        <w:spacing w:after="120" w:line="259" w:lineRule="auto"/>
        <w:jc w:val="both"/>
        <w:rPr>
          <w:rFonts w:ascii="Bookman Old Style" w:hAnsi="Bookman Old Style"/>
        </w:rPr>
      </w:pPr>
      <w:r>
        <w:rPr>
          <w:rFonts w:ascii="Bookman Old Style" w:hAnsi="Bookman Old Style"/>
        </w:rPr>
        <w:t>Restano tuttavia da risolvere alcune questioni, già segnalate dall’Anci</w:t>
      </w:r>
      <w:r w:rsidR="003229DB">
        <w:rPr>
          <w:rFonts w:ascii="Bookman Old Style" w:hAnsi="Bookman Old Style"/>
        </w:rPr>
        <w:t xml:space="preserve"> anche </w:t>
      </w:r>
      <w:r>
        <w:rPr>
          <w:rFonts w:ascii="Bookman Old Style" w:hAnsi="Bookman Old Style"/>
        </w:rPr>
        <w:t>in occasione dell’audizione sul DEF 2016, riguardanti:</w:t>
      </w:r>
    </w:p>
    <w:p w:rsidR="00C3362A" w:rsidRPr="00C3362A" w:rsidRDefault="00C3362A" w:rsidP="0036040D">
      <w:pPr>
        <w:pStyle w:val="Paragrafoelenco"/>
        <w:numPr>
          <w:ilvl w:val="0"/>
          <w:numId w:val="3"/>
        </w:numPr>
        <w:spacing w:after="120" w:line="259" w:lineRule="auto"/>
        <w:ind w:left="360"/>
        <w:contextualSpacing w:val="0"/>
        <w:jc w:val="both"/>
        <w:rPr>
          <w:rFonts w:ascii="Bookman Old Style" w:hAnsi="Bookman Old Style"/>
          <w:sz w:val="22"/>
          <w:szCs w:val="22"/>
        </w:rPr>
      </w:pPr>
      <w:r>
        <w:rPr>
          <w:rFonts w:ascii="Bookman Old Style" w:hAnsi="Bookman Old Style"/>
          <w:sz w:val="22"/>
          <w:szCs w:val="22"/>
        </w:rPr>
        <w:t xml:space="preserve">il </w:t>
      </w:r>
      <w:r w:rsidRPr="00C3362A">
        <w:rPr>
          <w:rFonts w:ascii="Bookman Old Style" w:hAnsi="Bookman Old Style"/>
          <w:sz w:val="22"/>
          <w:szCs w:val="22"/>
        </w:rPr>
        <w:t>consolidament</w:t>
      </w:r>
      <w:r>
        <w:rPr>
          <w:rFonts w:ascii="Bookman Old Style" w:hAnsi="Bookman Old Style"/>
          <w:sz w:val="22"/>
          <w:szCs w:val="22"/>
        </w:rPr>
        <w:t>o a regime (e con risorse compu</w:t>
      </w:r>
      <w:r w:rsidRPr="00C3362A">
        <w:rPr>
          <w:rFonts w:ascii="Bookman Old Style" w:hAnsi="Bookman Old Style"/>
          <w:sz w:val="22"/>
          <w:szCs w:val="22"/>
        </w:rPr>
        <w:t>tab</w:t>
      </w:r>
      <w:r>
        <w:rPr>
          <w:rFonts w:ascii="Bookman Old Style" w:hAnsi="Bookman Old Style"/>
          <w:sz w:val="22"/>
          <w:szCs w:val="22"/>
        </w:rPr>
        <w:t>i</w:t>
      </w:r>
      <w:r w:rsidRPr="00C3362A">
        <w:rPr>
          <w:rFonts w:ascii="Bookman Old Style" w:hAnsi="Bookman Old Style"/>
          <w:sz w:val="22"/>
          <w:szCs w:val="22"/>
        </w:rPr>
        <w:t>li nel saldo di competenza</w:t>
      </w:r>
      <w:r>
        <w:rPr>
          <w:rFonts w:ascii="Bookman Old Style" w:hAnsi="Bookman Old Style"/>
          <w:sz w:val="22"/>
          <w:szCs w:val="22"/>
        </w:rPr>
        <w:t>)</w:t>
      </w:r>
      <w:r w:rsidRPr="00C3362A">
        <w:rPr>
          <w:rFonts w:ascii="Bookman Old Style" w:hAnsi="Bookman Old Style"/>
          <w:sz w:val="22"/>
          <w:szCs w:val="22"/>
        </w:rPr>
        <w:t xml:space="preserve"> del </w:t>
      </w:r>
      <w:r w:rsidRPr="00C3362A">
        <w:rPr>
          <w:rFonts w:ascii="Bookman Old Style" w:hAnsi="Bookman Old Style"/>
          <w:b/>
          <w:i/>
          <w:sz w:val="22"/>
          <w:szCs w:val="22"/>
        </w:rPr>
        <w:t>contributo compensativo</w:t>
      </w:r>
      <w:r w:rsidRPr="00C3362A">
        <w:rPr>
          <w:rFonts w:ascii="Bookman Old Style" w:hAnsi="Bookman Old Style"/>
          <w:i/>
          <w:sz w:val="22"/>
          <w:szCs w:val="22"/>
        </w:rPr>
        <w:t xml:space="preserve"> </w:t>
      </w:r>
      <w:r w:rsidRPr="00C3362A">
        <w:rPr>
          <w:rFonts w:ascii="Bookman Old Style" w:hAnsi="Bookman Old Style"/>
          <w:b/>
          <w:i/>
          <w:sz w:val="22"/>
          <w:szCs w:val="22"/>
        </w:rPr>
        <w:t>del passaggio IMU-Tasi</w:t>
      </w:r>
      <w:r>
        <w:rPr>
          <w:rFonts w:ascii="Bookman Old Style" w:hAnsi="Bookman Old Style"/>
          <w:sz w:val="22"/>
          <w:szCs w:val="22"/>
        </w:rPr>
        <w:t xml:space="preserve">, a ristoro </w:t>
      </w:r>
      <w:r w:rsidRPr="00C3362A">
        <w:rPr>
          <w:rFonts w:ascii="Bookman Old Style" w:hAnsi="Bookman Old Style"/>
          <w:sz w:val="22"/>
          <w:szCs w:val="22"/>
        </w:rPr>
        <w:t xml:space="preserve">del maggior gettito IMU </w:t>
      </w:r>
      <w:r>
        <w:rPr>
          <w:rFonts w:ascii="Bookman Old Style" w:hAnsi="Bookman Old Style"/>
          <w:sz w:val="22"/>
          <w:szCs w:val="22"/>
        </w:rPr>
        <w:t>non p</w:t>
      </w:r>
      <w:r w:rsidRPr="00C3362A">
        <w:rPr>
          <w:rFonts w:ascii="Bookman Old Style" w:hAnsi="Bookman Old Style"/>
          <w:sz w:val="22"/>
          <w:szCs w:val="22"/>
        </w:rPr>
        <w:t xml:space="preserve">iù acquisibile da circa 1.800 Comuni </w:t>
      </w:r>
      <w:r>
        <w:rPr>
          <w:rFonts w:ascii="Bookman Old Style" w:hAnsi="Bookman Old Style"/>
          <w:sz w:val="22"/>
          <w:szCs w:val="22"/>
        </w:rPr>
        <w:t xml:space="preserve">dal </w:t>
      </w:r>
      <w:r w:rsidRPr="00C3362A">
        <w:rPr>
          <w:rFonts w:ascii="Bookman Old Style" w:hAnsi="Bookman Old Style"/>
          <w:sz w:val="22"/>
          <w:szCs w:val="22"/>
        </w:rPr>
        <w:t>2014.</w:t>
      </w:r>
      <w:r>
        <w:rPr>
          <w:rFonts w:ascii="Bookman Old Style" w:hAnsi="Bookman Old Style"/>
          <w:sz w:val="22"/>
          <w:szCs w:val="22"/>
        </w:rPr>
        <w:t xml:space="preserve"> Il contributo è ulteriormente ridotto a 300 mln. di euro per il 2017, a fronte di una perdita di gettito a suo tempo certificata dal Mef per circa 490 mln. di euro;</w:t>
      </w:r>
    </w:p>
    <w:p w:rsidR="00AC5151" w:rsidRDefault="00826620" w:rsidP="0036040D">
      <w:pPr>
        <w:pStyle w:val="Paragrafoelenco"/>
        <w:numPr>
          <w:ilvl w:val="0"/>
          <w:numId w:val="3"/>
        </w:numPr>
        <w:spacing w:after="120" w:line="259" w:lineRule="auto"/>
        <w:ind w:left="360"/>
        <w:contextualSpacing w:val="0"/>
        <w:jc w:val="both"/>
        <w:rPr>
          <w:rFonts w:ascii="Bookman Old Style" w:hAnsi="Bookman Old Style"/>
          <w:sz w:val="22"/>
          <w:szCs w:val="22"/>
        </w:rPr>
      </w:pPr>
      <w:r w:rsidRPr="00C3362A">
        <w:rPr>
          <w:rFonts w:ascii="Bookman Old Style" w:hAnsi="Bookman Old Style"/>
          <w:sz w:val="22"/>
          <w:szCs w:val="22"/>
        </w:rPr>
        <w:t>il</w:t>
      </w:r>
      <w:r>
        <w:rPr>
          <w:rFonts w:ascii="Bookman Old Style" w:hAnsi="Bookman Old Style"/>
          <w:i/>
          <w:sz w:val="22"/>
          <w:szCs w:val="22"/>
        </w:rPr>
        <w:t xml:space="preserve"> </w:t>
      </w:r>
      <w:r>
        <w:rPr>
          <w:rFonts w:ascii="Bookman Old Style" w:hAnsi="Bookman Old Style"/>
          <w:b/>
          <w:i/>
          <w:sz w:val="22"/>
          <w:szCs w:val="22"/>
        </w:rPr>
        <w:t>ristoro delle modifiche di imponibile dei fabbricati D</w:t>
      </w:r>
      <w:r>
        <w:rPr>
          <w:rFonts w:ascii="Bookman Old Style" w:hAnsi="Bookman Old Style"/>
          <w:sz w:val="22"/>
          <w:szCs w:val="22"/>
        </w:rPr>
        <w:t xml:space="preserve">, sul quale diversi tribunali civili (Bologna, Venezia, Milano) si sono espressi in primo grado, annullando le attribuzioni di risorse compensative del minor gettito ICI ridefinite dal Mef e dal Ministero dell’Interno, a decorrere dal 2009 sulla base di criteri più restrittivi e fatti valere retroattivamente, dal 2001 anno di avvio del ristoro. Di fatto, contrariamente al dettato delle norme di legge ed attuative, una parte </w:t>
      </w:r>
      <w:r w:rsidR="00BD12B6">
        <w:rPr>
          <w:rFonts w:ascii="Bookman Old Style" w:hAnsi="Bookman Old Style"/>
          <w:sz w:val="22"/>
          <w:szCs w:val="22"/>
        </w:rPr>
        <w:t xml:space="preserve">cospicua </w:t>
      </w:r>
      <w:r>
        <w:rPr>
          <w:rFonts w:ascii="Bookman Old Style" w:hAnsi="Bookman Old Style"/>
          <w:sz w:val="22"/>
          <w:szCs w:val="22"/>
        </w:rPr>
        <w:t xml:space="preserve">del minor gettito riscontrato non è stata riconosciuta. </w:t>
      </w:r>
    </w:p>
    <w:p w:rsidR="00AC5151" w:rsidRDefault="00826620" w:rsidP="0036040D">
      <w:pPr>
        <w:pStyle w:val="Paragrafoelenco"/>
        <w:spacing w:after="120" w:line="259" w:lineRule="auto"/>
        <w:ind w:left="360"/>
        <w:contextualSpacing w:val="0"/>
        <w:jc w:val="both"/>
        <w:rPr>
          <w:rFonts w:ascii="Bookman Old Style" w:hAnsi="Bookman Old Style"/>
          <w:sz w:val="22"/>
          <w:szCs w:val="22"/>
        </w:rPr>
      </w:pPr>
      <w:r>
        <w:rPr>
          <w:rFonts w:ascii="Bookman Old Style" w:hAnsi="Bookman Old Style"/>
          <w:sz w:val="22"/>
          <w:szCs w:val="22"/>
        </w:rPr>
        <w:t xml:space="preserve">Anche su questo argomento appare pertanto opportuna una sistemazione negoziale che determini un </w:t>
      </w:r>
      <w:r>
        <w:rPr>
          <w:rFonts w:ascii="Bookman Old Style" w:hAnsi="Bookman Old Style"/>
          <w:bCs/>
          <w:sz w:val="22"/>
          <w:szCs w:val="22"/>
        </w:rPr>
        <w:t xml:space="preserve">congruo ammontare di risorse </w:t>
      </w:r>
      <w:r>
        <w:rPr>
          <w:rFonts w:ascii="Bookman Old Style" w:hAnsi="Bookman Old Style"/>
          <w:bCs/>
          <w:i/>
          <w:sz w:val="22"/>
          <w:szCs w:val="22"/>
        </w:rPr>
        <w:t xml:space="preserve">una tantum </w:t>
      </w:r>
      <w:r>
        <w:rPr>
          <w:rFonts w:ascii="Bookman Old Style" w:hAnsi="Bookman Old Style"/>
          <w:i/>
          <w:sz w:val="22"/>
          <w:szCs w:val="22"/>
        </w:rPr>
        <w:t>(</w:t>
      </w:r>
      <w:r>
        <w:rPr>
          <w:rFonts w:ascii="Bookman Old Style" w:hAnsi="Bookman Old Style"/>
          <w:sz w:val="22"/>
          <w:szCs w:val="22"/>
        </w:rPr>
        <w:t xml:space="preserve">il dispositivo di ristoro non è più applicabile dal 2011) </w:t>
      </w:r>
      <w:r>
        <w:rPr>
          <w:rFonts w:ascii="Bookman Old Style" w:hAnsi="Bookman Old Style"/>
          <w:bCs/>
          <w:sz w:val="22"/>
          <w:szCs w:val="22"/>
        </w:rPr>
        <w:t xml:space="preserve">a favore dei Comuni penalizzati </w:t>
      </w:r>
      <w:r>
        <w:rPr>
          <w:rFonts w:ascii="Bookman Old Style" w:hAnsi="Bookman Old Style"/>
          <w:sz w:val="22"/>
          <w:szCs w:val="22"/>
        </w:rPr>
        <w:t>dai più restrittivi criteri imposti dai ministeri. Nel complesso, la perdita subita ammonta a circa 300 milioni di euro e coinvolge circa 650 Comuni;</w:t>
      </w:r>
    </w:p>
    <w:p w:rsidR="00AC5151" w:rsidRDefault="00826620" w:rsidP="0036040D">
      <w:pPr>
        <w:pStyle w:val="Paragrafoelenco"/>
        <w:numPr>
          <w:ilvl w:val="0"/>
          <w:numId w:val="2"/>
        </w:numPr>
        <w:spacing w:after="120" w:line="259" w:lineRule="auto"/>
        <w:ind w:left="360"/>
        <w:contextualSpacing w:val="0"/>
        <w:jc w:val="both"/>
        <w:rPr>
          <w:rFonts w:ascii="Bookman Old Style" w:hAnsi="Bookman Old Style"/>
          <w:sz w:val="22"/>
          <w:szCs w:val="22"/>
        </w:rPr>
      </w:pPr>
      <w:r w:rsidRPr="00C3362A">
        <w:rPr>
          <w:rFonts w:ascii="Bookman Old Style" w:hAnsi="Bookman Old Style"/>
          <w:bCs/>
          <w:iCs/>
          <w:sz w:val="22"/>
          <w:szCs w:val="22"/>
        </w:rPr>
        <w:t>il</w:t>
      </w:r>
      <w:r>
        <w:rPr>
          <w:rFonts w:ascii="Bookman Old Style" w:hAnsi="Bookman Old Style"/>
          <w:b/>
          <w:bCs/>
          <w:i/>
          <w:iCs/>
          <w:sz w:val="22"/>
          <w:szCs w:val="22"/>
        </w:rPr>
        <w:t xml:space="preserve"> riparto dell’addizionale comunali aeroportuale. </w:t>
      </w:r>
      <w:r>
        <w:rPr>
          <w:rFonts w:ascii="Bookman Old Style" w:hAnsi="Bookman Old Style"/>
          <w:bCs/>
          <w:iCs/>
          <w:sz w:val="22"/>
          <w:szCs w:val="22"/>
        </w:rPr>
        <w:t>L</w:t>
      </w:r>
      <w:r>
        <w:rPr>
          <w:rFonts w:ascii="Bookman Old Style" w:hAnsi="Bookman Old Style"/>
          <w:sz w:val="22"/>
          <w:szCs w:val="22"/>
        </w:rPr>
        <w:t xml:space="preserve">a vicenda delle anomalie riscontrate nel riparto dell’addizionale sui diritti di imbarco aeroportuale, che spetta ai Comuni di ubicazione dei sedimi aeroportuali o con essi confinanti, in base alla legge n. 350 del 2003 (art. 2, co. 11), è stata affrontata da Anci in molte sedi, tecniche ed istituzionali, ma finora non è stata risolta. Dal 2008, a seguito dell’entrata in vigore della legge 24 dicembre 2007, n.244 (legge finanziaria 2008) art. 2, commi 615, </w:t>
      </w:r>
      <w:r>
        <w:rPr>
          <w:rFonts w:ascii="Bookman Old Style" w:hAnsi="Bookman Old Style"/>
          <w:sz w:val="22"/>
          <w:szCs w:val="22"/>
        </w:rPr>
        <w:lastRenderedPageBreak/>
        <w:t xml:space="preserve">616 e 617, </w:t>
      </w:r>
      <w:r>
        <w:rPr>
          <w:rFonts w:ascii="Bookman Old Style" w:hAnsi="Bookman Old Style"/>
          <w:bCs/>
          <w:sz w:val="22"/>
          <w:szCs w:val="22"/>
        </w:rPr>
        <w:t>le entrate riversate dai gestori a titolo di addizionale comunale sui diritti d'imbarco aeroportuale confluiscono in un fondo a gestione ministeriale e sono poi ripartite ai Comuni in misura ingiustificatamente ridotta</w:t>
      </w:r>
      <w:r>
        <w:rPr>
          <w:rFonts w:ascii="Bookman Old Style" w:hAnsi="Bookman Old Style"/>
          <w:sz w:val="22"/>
          <w:szCs w:val="22"/>
        </w:rPr>
        <w:t xml:space="preserve">. Per una inaccettabile interpretazione delle riduzioni cui è sottoposto il fondo nel suo complesso, </w:t>
      </w:r>
      <w:r w:rsidR="003229DB">
        <w:rPr>
          <w:rFonts w:ascii="Bookman Old Style" w:hAnsi="Bookman Old Style"/>
          <w:sz w:val="22"/>
          <w:szCs w:val="22"/>
        </w:rPr>
        <w:t xml:space="preserve">anche l’addizionale – che è a tutti gli effetti un’entrata autonoma dei Comuni interessati –viene ridotta. </w:t>
      </w:r>
      <w:r w:rsidR="003229DB" w:rsidRPr="003229DB">
        <w:rPr>
          <w:rFonts w:ascii="Bookman Old Style" w:hAnsi="Bookman Old Style"/>
          <w:b/>
          <w:sz w:val="22"/>
          <w:szCs w:val="22"/>
        </w:rPr>
        <w:t>R</w:t>
      </w:r>
      <w:r>
        <w:rPr>
          <w:rFonts w:ascii="Bookman Old Style" w:hAnsi="Bookman Old Style"/>
          <w:b/>
          <w:bCs/>
          <w:sz w:val="22"/>
          <w:szCs w:val="22"/>
        </w:rPr>
        <w:t xml:space="preserve">isultano </w:t>
      </w:r>
      <w:r w:rsidR="003229DB">
        <w:rPr>
          <w:rFonts w:ascii="Bookman Old Style" w:hAnsi="Bookman Old Style"/>
          <w:b/>
          <w:bCs/>
          <w:sz w:val="22"/>
          <w:szCs w:val="22"/>
        </w:rPr>
        <w:t xml:space="preserve">così </w:t>
      </w:r>
      <w:r>
        <w:rPr>
          <w:rFonts w:ascii="Bookman Old Style" w:hAnsi="Bookman Old Style"/>
          <w:b/>
          <w:bCs/>
          <w:sz w:val="22"/>
          <w:szCs w:val="22"/>
        </w:rPr>
        <w:t xml:space="preserve">non attribuite ai </w:t>
      </w:r>
      <w:r w:rsidR="003229DB">
        <w:rPr>
          <w:rFonts w:ascii="Bookman Old Style" w:hAnsi="Bookman Old Style"/>
          <w:b/>
          <w:bCs/>
          <w:sz w:val="22"/>
          <w:szCs w:val="22"/>
        </w:rPr>
        <w:t xml:space="preserve">72 Comuni aventi diritto </w:t>
      </w:r>
      <w:r>
        <w:rPr>
          <w:rFonts w:ascii="Bookman Old Style" w:hAnsi="Bookman Old Style"/>
          <w:b/>
          <w:bCs/>
          <w:sz w:val="22"/>
          <w:szCs w:val="22"/>
        </w:rPr>
        <w:t xml:space="preserve">Comuni ingenti somme, stimabili </w:t>
      </w:r>
      <w:r w:rsidR="003229DB">
        <w:rPr>
          <w:rFonts w:ascii="Bookman Old Style" w:hAnsi="Bookman Old Style"/>
          <w:b/>
          <w:bCs/>
          <w:sz w:val="22"/>
          <w:szCs w:val="22"/>
        </w:rPr>
        <w:t xml:space="preserve">in oltre </w:t>
      </w:r>
      <w:r>
        <w:rPr>
          <w:rFonts w:ascii="Bookman Old Style" w:hAnsi="Bookman Old Style"/>
          <w:b/>
          <w:bCs/>
          <w:sz w:val="22"/>
          <w:szCs w:val="22"/>
        </w:rPr>
        <w:t>100 milioni di euro</w:t>
      </w:r>
      <w:r w:rsidR="003229DB">
        <w:rPr>
          <w:rFonts w:ascii="Bookman Old Style" w:hAnsi="Bookman Old Style"/>
          <w:b/>
          <w:bCs/>
          <w:sz w:val="22"/>
          <w:szCs w:val="22"/>
        </w:rPr>
        <w:t xml:space="preserve"> dal 2007</w:t>
      </w:r>
      <w:r w:rsidR="003229DB">
        <w:rPr>
          <w:rFonts w:ascii="Bookman Old Style" w:hAnsi="Bookman Old Style"/>
          <w:sz w:val="22"/>
          <w:szCs w:val="22"/>
        </w:rPr>
        <w:t>;</w:t>
      </w:r>
      <w:r>
        <w:rPr>
          <w:rFonts w:ascii="Bookman Old Style" w:hAnsi="Bookman Old Style"/>
          <w:sz w:val="22"/>
          <w:szCs w:val="22"/>
        </w:rPr>
        <w:t xml:space="preserve"> </w:t>
      </w:r>
    </w:p>
    <w:p w:rsidR="00AC5151" w:rsidRDefault="00826620" w:rsidP="0036040D">
      <w:pPr>
        <w:pStyle w:val="Paragrafoelenco"/>
        <w:numPr>
          <w:ilvl w:val="0"/>
          <w:numId w:val="2"/>
        </w:numPr>
        <w:spacing w:after="120" w:line="259" w:lineRule="auto"/>
        <w:ind w:left="360"/>
        <w:contextualSpacing w:val="0"/>
        <w:jc w:val="both"/>
        <w:rPr>
          <w:rFonts w:ascii="Bookman Old Style" w:hAnsi="Bookman Old Style"/>
          <w:sz w:val="22"/>
          <w:szCs w:val="22"/>
        </w:rPr>
      </w:pPr>
      <w:r>
        <w:rPr>
          <w:rFonts w:ascii="Bookman Old Style" w:hAnsi="Bookman Old Style"/>
          <w:sz w:val="22"/>
          <w:szCs w:val="22"/>
        </w:rPr>
        <w:t xml:space="preserve">l’annullamento del </w:t>
      </w:r>
      <w:r>
        <w:rPr>
          <w:rFonts w:ascii="Bookman Old Style" w:hAnsi="Bookman Old Style"/>
          <w:b/>
          <w:i/>
          <w:sz w:val="22"/>
          <w:szCs w:val="22"/>
        </w:rPr>
        <w:t>riparto del taglio da spending review di cui al dl n. 95 del 2012</w:t>
      </w:r>
      <w:r>
        <w:rPr>
          <w:rFonts w:ascii="Bookman Old Style" w:hAnsi="Bookman Old Style"/>
          <w:sz w:val="22"/>
          <w:szCs w:val="22"/>
        </w:rPr>
        <w:t xml:space="preserve">, ad opera della Corte Costituzionale, per carenza di concertazione e conseguente rischio di eccesso di aggravio per fasce di enti ad alta spesa intermedia. </w:t>
      </w:r>
      <w:r w:rsidR="003229DB">
        <w:rPr>
          <w:rFonts w:ascii="Bookman Old Style" w:hAnsi="Bookman Old Style"/>
          <w:sz w:val="22"/>
          <w:szCs w:val="22"/>
        </w:rPr>
        <w:t xml:space="preserve">Nella fase di nuova concertazione determinata dal co. 444 della Legge di bilancio 2017, L’ANCI ha chiesto che siano reperite ulteriori risorse per diminuire i tagli in eccesso subiti da un rilevante numero di enti, in proporzione della spesa di cassa per beni e servizi intermedi rilevata da SIOPE. </w:t>
      </w:r>
      <w:r w:rsidR="00BD12B6">
        <w:rPr>
          <w:rFonts w:ascii="Bookman Old Style" w:hAnsi="Bookman Old Style"/>
          <w:sz w:val="22"/>
          <w:szCs w:val="22"/>
        </w:rPr>
        <w:t xml:space="preserve">È fortemente auspicabile </w:t>
      </w:r>
      <w:r>
        <w:rPr>
          <w:rFonts w:ascii="Bookman Old Style" w:hAnsi="Bookman Old Style"/>
          <w:sz w:val="22"/>
          <w:szCs w:val="22"/>
        </w:rPr>
        <w:t>che l’integrazione venga accolta quanto prima dal Governo.</w:t>
      </w:r>
    </w:p>
    <w:p w:rsidR="00AC5151" w:rsidRDefault="00AC5151" w:rsidP="0036040D">
      <w:pPr>
        <w:pStyle w:val="Paragrafoelenco"/>
        <w:spacing w:after="120" w:line="259" w:lineRule="auto"/>
        <w:ind w:left="435"/>
        <w:contextualSpacing w:val="0"/>
        <w:jc w:val="both"/>
        <w:rPr>
          <w:rFonts w:ascii="Bookman Old Style" w:hAnsi="Bookman Old Style"/>
          <w:sz w:val="22"/>
          <w:szCs w:val="22"/>
        </w:rPr>
      </w:pPr>
    </w:p>
    <w:p w:rsidR="00AC5151" w:rsidRPr="002F6518" w:rsidRDefault="00826620" w:rsidP="002F6518">
      <w:pPr>
        <w:pStyle w:val="Titolo1"/>
      </w:pPr>
      <w:bookmarkStart w:id="14" w:name="_Toc480289423"/>
      <w:r w:rsidRPr="002F6518">
        <w:t>Le Città Metropolitane</w:t>
      </w:r>
      <w:bookmarkEnd w:id="14"/>
    </w:p>
    <w:p w:rsidR="00AC5151" w:rsidRDefault="00826620" w:rsidP="0036040D">
      <w:pPr>
        <w:spacing w:after="120" w:line="259" w:lineRule="auto"/>
        <w:jc w:val="both"/>
        <w:rPr>
          <w:rFonts w:ascii="Bookman Old Style" w:hAnsi="Bookman Old Style"/>
        </w:rPr>
      </w:pPr>
      <w:r>
        <w:rPr>
          <w:rFonts w:ascii="Bookman Old Style" w:hAnsi="Bookman Old Style"/>
        </w:rPr>
        <w:t xml:space="preserve">La situazione di </w:t>
      </w:r>
      <w:r>
        <w:rPr>
          <w:rFonts w:ascii="Bookman Old Style" w:hAnsi="Bookman Old Style"/>
          <w:b/>
        </w:rPr>
        <w:t>prolungata sofferenza finanziaria</w:t>
      </w:r>
      <w:r>
        <w:rPr>
          <w:rFonts w:ascii="Bookman Old Style" w:hAnsi="Bookman Old Style"/>
        </w:rPr>
        <w:t xml:space="preserve"> dell’intero comparto ex-province, dal 2013 in poi, ha duramente coinvolto gli equilibri delle Città Metropolitane. Gli interventi attivati a partire dal 2015 hanno consentito di limitare i tagli stabiliti dal Governo e dal Parlamento, di fissare obiettivi di finanza pubblica accettabili, di introdurre misure straordinarie sulle penalizzazioni da violazione del Patto di stabilità nonché per la gestione ordinaria dei bilanci e, in definitiva, di individuare un percorso in grado di traguardare in modo sostenibile il biennio 2015-2016.</w:t>
      </w:r>
    </w:p>
    <w:p w:rsidR="00AC5151" w:rsidRDefault="00826620" w:rsidP="0036040D">
      <w:pPr>
        <w:pStyle w:val="Nessunaspaziatura"/>
        <w:spacing w:after="120" w:line="259" w:lineRule="auto"/>
        <w:jc w:val="both"/>
        <w:rPr>
          <w:rFonts w:ascii="Bookman Old Style" w:hAnsi="Bookman Old Style"/>
        </w:rPr>
      </w:pPr>
      <w:r>
        <w:rPr>
          <w:rFonts w:ascii="Bookman Old Style" w:hAnsi="Bookman Old Style"/>
        </w:rPr>
        <w:t>Le criticità non sono tuttavia superate per il complesso del comparto con riferimento alla capacità di svolgere le funzioni assegnate, il cui perimetro è più ampio di quello riservato alle Province, e per alcune di esse già nella fase di definizione degli equilibri previsionali, il che rende impossibile l’approvazione dei bilanci.</w:t>
      </w:r>
    </w:p>
    <w:p w:rsidR="00AC5151" w:rsidRDefault="00826620" w:rsidP="0036040D">
      <w:pPr>
        <w:spacing w:after="120" w:line="259" w:lineRule="auto"/>
        <w:jc w:val="both"/>
        <w:rPr>
          <w:rFonts w:ascii="Bookman Old Style" w:hAnsi="Bookman Old Style"/>
        </w:rPr>
      </w:pPr>
      <w:r>
        <w:rPr>
          <w:rFonts w:ascii="Bookman Old Style" w:hAnsi="Bookman Old Style"/>
        </w:rPr>
        <w:t xml:space="preserve">Nel complesso </w:t>
      </w:r>
      <w:r>
        <w:rPr>
          <w:rFonts w:ascii="Bookman Old Style" w:hAnsi="Bookman Old Style"/>
          <w:b/>
        </w:rPr>
        <w:t>la riduzione di risorse subita dalle CM delle Regioni a statuto ordinario (RSO) è stata pari al 37% della spesa corrente media del 2010-2012.</w:t>
      </w:r>
      <w:r>
        <w:rPr>
          <w:rFonts w:ascii="Bookman Old Style" w:hAnsi="Bookman Old Style"/>
        </w:rPr>
        <w:t xml:space="preserve"> Nonostante la sostanziale sterilizzazione dei tagli incrementali 2016 e 2017, il quadro finanziario di sintesi (aggiornato al preconsuntivo 2016) riflette le criticità tuttora in atto. Come emerge dai risultati di amministrazione, il comparto CM è in disequilibrio fin dal 2014. Gli equilibri 2015 e 2016 sono </w:t>
      </w:r>
      <w:r w:rsidR="003C549A">
        <w:rPr>
          <w:rFonts w:ascii="Bookman Old Style" w:hAnsi="Bookman Old Style"/>
        </w:rPr>
        <w:t xml:space="preserve">stati </w:t>
      </w:r>
      <w:r>
        <w:rPr>
          <w:rFonts w:ascii="Bookman Old Style" w:hAnsi="Bookman Old Style"/>
        </w:rPr>
        <w:t xml:space="preserve">ottenuti solo grazie all’applicazione degli avanzi disponibili permessa da norme straordinarie. L’intensificazione dei tagli alle risorse nel 2015 è </w:t>
      </w:r>
      <w:r w:rsidR="003C549A">
        <w:rPr>
          <w:rFonts w:ascii="Bookman Old Style" w:hAnsi="Bookman Old Style"/>
        </w:rPr>
        <w:t xml:space="preserve">stata </w:t>
      </w:r>
      <w:r>
        <w:rPr>
          <w:rFonts w:ascii="Bookman Old Style" w:hAnsi="Bookman Old Style"/>
        </w:rPr>
        <w:t xml:space="preserve">particolarmente intensa, tanto che </w:t>
      </w:r>
      <w:r>
        <w:rPr>
          <w:rFonts w:ascii="Bookman Old Style" w:hAnsi="Bookman Old Style"/>
          <w:b/>
        </w:rPr>
        <w:t xml:space="preserve">8 su 10 CM non </w:t>
      </w:r>
      <w:r w:rsidR="003C549A">
        <w:rPr>
          <w:rFonts w:ascii="Bookman Old Style" w:hAnsi="Bookman Old Style"/>
          <w:b/>
        </w:rPr>
        <w:t xml:space="preserve">hanno </w:t>
      </w:r>
      <w:r>
        <w:rPr>
          <w:rFonts w:ascii="Bookman Old Style" w:hAnsi="Bookman Old Style"/>
          <w:b/>
        </w:rPr>
        <w:t>rispetta</w:t>
      </w:r>
      <w:r w:rsidR="003C549A">
        <w:rPr>
          <w:rFonts w:ascii="Bookman Old Style" w:hAnsi="Bookman Old Style"/>
          <w:b/>
        </w:rPr>
        <w:t xml:space="preserve">to </w:t>
      </w:r>
      <w:r>
        <w:rPr>
          <w:rFonts w:ascii="Bookman Old Style" w:hAnsi="Bookman Old Style"/>
          <w:b/>
        </w:rPr>
        <w:t>il Patto di stabilità</w:t>
      </w:r>
      <w:r>
        <w:rPr>
          <w:rFonts w:ascii="Bookman Old Style" w:hAnsi="Bookman Old Style"/>
        </w:rPr>
        <w:t xml:space="preserve">. Nel 2016 </w:t>
      </w:r>
      <w:r w:rsidR="003C549A">
        <w:rPr>
          <w:rFonts w:ascii="Bookman Old Style" w:hAnsi="Bookman Old Style"/>
        </w:rPr>
        <w:t xml:space="preserve">il sostegno rappresentato dagli </w:t>
      </w:r>
      <w:r>
        <w:rPr>
          <w:rFonts w:ascii="Bookman Old Style" w:hAnsi="Bookman Old Style"/>
        </w:rPr>
        <w:t xml:space="preserve">avanzi applicabili </w:t>
      </w:r>
      <w:r w:rsidR="003C549A">
        <w:rPr>
          <w:rFonts w:ascii="Bookman Old Style" w:hAnsi="Bookman Old Style"/>
        </w:rPr>
        <w:t xml:space="preserve">diminuisce </w:t>
      </w:r>
      <w:r>
        <w:rPr>
          <w:rFonts w:ascii="Bookman Old Style" w:hAnsi="Bookman Old Style"/>
        </w:rPr>
        <w:t xml:space="preserve">perché gli avanzi si assottigliano e il risultato </w:t>
      </w:r>
      <w:r w:rsidR="005E43B2">
        <w:rPr>
          <w:rFonts w:ascii="Bookman Old Style" w:hAnsi="Bookman Old Style"/>
        </w:rPr>
        <w:t xml:space="preserve">negativo </w:t>
      </w:r>
      <w:r>
        <w:rPr>
          <w:rFonts w:ascii="Bookman Old Style" w:hAnsi="Bookman Old Style"/>
        </w:rPr>
        <w:t xml:space="preserve">complessivo </w:t>
      </w:r>
      <w:r w:rsidR="005E43B2">
        <w:rPr>
          <w:rFonts w:ascii="Bookman Old Style" w:hAnsi="Bookman Old Style"/>
        </w:rPr>
        <w:t xml:space="preserve">viene contenuto </w:t>
      </w:r>
      <w:r>
        <w:rPr>
          <w:rFonts w:ascii="Bookman Old Style" w:hAnsi="Bookman Old Style"/>
        </w:rPr>
        <w:t>solo grazie alle ulteriori misure una tantum previste dalla Legge di stabilità 2016, in particolare il contributo compensativo del taglio incrementale (250 mln.). Peraltro, la gran parte delle CM subisce l’effetto di stringenti vincoli di bilancio sulla spesa per investimento, che appare fortemente compressa anche per ciò che riguarda le manutenzioni straordinarie in materia di viabilità ed edilizia scolastica.</w:t>
      </w:r>
    </w:p>
    <w:p w:rsidR="00AC5151" w:rsidRDefault="00826620" w:rsidP="0036040D">
      <w:pPr>
        <w:spacing w:after="120" w:line="259" w:lineRule="auto"/>
        <w:jc w:val="both"/>
        <w:rPr>
          <w:rFonts w:ascii="Bookman Old Style" w:hAnsi="Bookman Old Style"/>
        </w:rPr>
      </w:pPr>
      <w:r>
        <w:rPr>
          <w:rFonts w:ascii="Bookman Old Style" w:hAnsi="Bookman Old Style"/>
        </w:rPr>
        <w:lastRenderedPageBreak/>
        <w:t xml:space="preserve">Infine, pesano sulla situazione dei singoli enti gli </w:t>
      </w:r>
      <w:r>
        <w:rPr>
          <w:rFonts w:ascii="Bookman Old Style" w:hAnsi="Bookman Old Style"/>
          <w:b/>
        </w:rPr>
        <w:t>effetti negativi delle diverse modalità con le quali le Regioni</w:t>
      </w:r>
      <w:r>
        <w:rPr>
          <w:rFonts w:ascii="Bookman Old Style" w:hAnsi="Bookman Old Style"/>
        </w:rPr>
        <w:t xml:space="preserve"> hanno via via provveduto a regolare la riassunzione o la riassegnazione delle funzioni già delegate. L’inerzia di alcune Regioni, unitamente alla quantificazione erratica degli effettivi oneri delle funzioni in questione, sia in caso di riassunzione in capo alla Regione che nel caso di riassegnazione, hanno generato ulteriori costi per periodi pregressi (2014-16) e in alcuni casi perfino di carattere strutturale, che hanno contribuito ad aggravare la situazione degli equilibri finanziari delle Città Metropolitane.</w:t>
      </w:r>
    </w:p>
    <w:p w:rsidR="00AC5151" w:rsidRDefault="00826620" w:rsidP="0036040D">
      <w:pPr>
        <w:spacing w:after="120" w:line="259" w:lineRule="auto"/>
        <w:jc w:val="both"/>
        <w:rPr>
          <w:rFonts w:ascii="Bookman Old Style" w:hAnsi="Bookman Old Style"/>
        </w:rPr>
      </w:pPr>
      <w:r>
        <w:rPr>
          <w:rFonts w:ascii="Bookman Old Style" w:hAnsi="Bookman Old Style"/>
        </w:rPr>
        <w:t xml:space="preserve">Si registra pertanto l’esigenza di un duplice fronte di intervento, l’uno finalizzato ad assicurare l’ordinato </w:t>
      </w:r>
      <w:r>
        <w:rPr>
          <w:rFonts w:ascii="Bookman Old Style" w:hAnsi="Bookman Old Style"/>
          <w:b/>
        </w:rPr>
        <w:t>svolgimento dell’esercizio in corso</w:t>
      </w:r>
      <w:r>
        <w:rPr>
          <w:rFonts w:ascii="Bookman Old Style" w:hAnsi="Bookman Old Style"/>
        </w:rPr>
        <w:t xml:space="preserve">, </w:t>
      </w:r>
      <w:r w:rsidR="003C549A">
        <w:rPr>
          <w:rFonts w:ascii="Bookman Old Style" w:hAnsi="Bookman Old Style"/>
        </w:rPr>
        <w:t xml:space="preserve">attraverso il rinnovo di misure straordinarie sulla formazione dei bilanci già adottate per il 2015 e 2016 e l’erogazione di ulteriori risorse a ripiano delle situazioni di maggiore difficoltà, </w:t>
      </w:r>
      <w:r>
        <w:rPr>
          <w:rFonts w:ascii="Bookman Old Style" w:hAnsi="Bookman Old Style"/>
        </w:rPr>
        <w:t xml:space="preserve">l’altro di più ampio respiro volto a </w:t>
      </w:r>
      <w:r>
        <w:rPr>
          <w:rFonts w:ascii="Bookman Old Style" w:hAnsi="Bookman Old Style"/>
          <w:b/>
        </w:rPr>
        <w:t>ridisegnare l’assetto finanziario ed ordinamentale delle Città Metropolitane</w:t>
      </w:r>
      <w:r w:rsidR="005E43B2">
        <w:rPr>
          <w:rFonts w:ascii="Bookman Old Style" w:hAnsi="Bookman Old Style"/>
          <w:b/>
        </w:rPr>
        <w:t xml:space="preserve"> </w:t>
      </w:r>
      <w:r w:rsidR="005E43B2" w:rsidRPr="005E43B2">
        <w:rPr>
          <w:rFonts w:ascii="Bookman Old Style" w:hAnsi="Bookman Old Style"/>
        </w:rPr>
        <w:t xml:space="preserve">così da pervenire </w:t>
      </w:r>
      <w:r w:rsidR="005E43B2">
        <w:rPr>
          <w:rFonts w:ascii="Bookman Old Style" w:hAnsi="Bookman Old Style"/>
        </w:rPr>
        <w:t>al definitivo superamento degli squilibri</w:t>
      </w:r>
      <w:r>
        <w:rPr>
          <w:rFonts w:ascii="Bookman Old Style" w:hAnsi="Bookman Old Style"/>
        </w:rPr>
        <w:t>.</w:t>
      </w:r>
      <w:r w:rsidR="00C3362A">
        <w:rPr>
          <w:rFonts w:ascii="Bookman Old Style" w:hAnsi="Bookman Old Style"/>
        </w:rPr>
        <w:t xml:space="preserve"> </w:t>
      </w:r>
    </w:p>
    <w:p w:rsidR="00AC5151" w:rsidRDefault="00AC5151" w:rsidP="002F6518">
      <w:pPr>
        <w:pStyle w:val="Titolo1"/>
      </w:pPr>
    </w:p>
    <w:p w:rsidR="00AC5151" w:rsidRPr="002F6518" w:rsidRDefault="00826620" w:rsidP="002F6518">
      <w:pPr>
        <w:pStyle w:val="Titolo1"/>
      </w:pPr>
      <w:bookmarkStart w:id="15" w:name="_Toc480289424"/>
      <w:r w:rsidRPr="002F6518">
        <w:t>Dissesto e predissesto</w:t>
      </w:r>
      <w:bookmarkEnd w:id="15"/>
    </w:p>
    <w:p w:rsidR="00AC5151" w:rsidRDefault="00826620" w:rsidP="0036040D">
      <w:pPr>
        <w:spacing w:after="120" w:line="259" w:lineRule="auto"/>
        <w:jc w:val="both"/>
        <w:rPr>
          <w:rFonts w:ascii="Bookman Old Style" w:hAnsi="Bookman Old Style" w:cs="BookAntiqua-Bold"/>
          <w:bCs/>
        </w:rPr>
      </w:pPr>
      <w:r>
        <w:rPr>
          <w:rFonts w:ascii="Bookman Old Style" w:hAnsi="Bookman Old Style" w:cs="BookAntiqua-Bold"/>
          <w:bCs/>
        </w:rPr>
        <w:t xml:space="preserve">La difficile situazione degli enti in condizioni deficitarie e le </w:t>
      </w:r>
      <w:r>
        <w:rPr>
          <w:rFonts w:ascii="Bookman Old Style" w:hAnsi="Bookman Old Style" w:cs="BookAntiqua-Bold"/>
          <w:b/>
          <w:bCs/>
        </w:rPr>
        <w:t>problematiche del dissesto e del pre-dissesto</w:t>
      </w:r>
      <w:r>
        <w:rPr>
          <w:rFonts w:ascii="Bookman Old Style" w:hAnsi="Bookman Old Style" w:cs="BookAntiqua-Bold"/>
          <w:bCs/>
        </w:rPr>
        <w:t xml:space="preserve"> </w:t>
      </w:r>
      <w:r w:rsidR="0009126A">
        <w:rPr>
          <w:rFonts w:ascii="Bookman Old Style" w:hAnsi="Bookman Old Style" w:cs="BookAntiqua-Bold"/>
          <w:bCs/>
        </w:rPr>
        <w:t xml:space="preserve">presentano tuttora </w:t>
      </w:r>
      <w:r>
        <w:rPr>
          <w:rFonts w:ascii="Bookman Old Style" w:hAnsi="Bookman Old Style" w:cs="BookAntiqua-Bold"/>
          <w:bCs/>
        </w:rPr>
        <w:t>criticità</w:t>
      </w:r>
      <w:r w:rsidR="00C235CC">
        <w:rPr>
          <w:rFonts w:ascii="Bookman Old Style" w:hAnsi="Bookman Old Style" w:cs="BookAntiqua-Bold"/>
          <w:bCs/>
        </w:rPr>
        <w:t xml:space="preserve"> che devono trovare risposta</w:t>
      </w:r>
      <w:r>
        <w:rPr>
          <w:rFonts w:ascii="Bookman Old Style" w:hAnsi="Bookman Old Style" w:cs="BookAntiqua-Bold"/>
          <w:bCs/>
        </w:rPr>
        <w:t xml:space="preserve">, in un quadro normativo </w:t>
      </w:r>
      <w:r w:rsidR="00C235CC">
        <w:rPr>
          <w:rFonts w:ascii="Bookman Old Style" w:hAnsi="Bookman Old Style" w:cs="BookAntiqua-Bold"/>
          <w:bCs/>
        </w:rPr>
        <w:t xml:space="preserve">purtroppo </w:t>
      </w:r>
      <w:r>
        <w:rPr>
          <w:rFonts w:ascii="Bookman Old Style" w:hAnsi="Bookman Old Style" w:cs="BookAntiqua-Bold"/>
          <w:bCs/>
        </w:rPr>
        <w:t xml:space="preserve">insufficiente e disorganico. </w:t>
      </w:r>
    </w:p>
    <w:p w:rsidR="00AC5151" w:rsidRDefault="00826620" w:rsidP="0036040D">
      <w:pPr>
        <w:spacing w:after="120" w:line="259" w:lineRule="auto"/>
        <w:jc w:val="both"/>
        <w:rPr>
          <w:rFonts w:ascii="Bookman Old Style" w:hAnsi="Bookman Old Style" w:cs="BookAntiqua-Bold"/>
          <w:bCs/>
        </w:rPr>
      </w:pPr>
      <w:r>
        <w:rPr>
          <w:rFonts w:ascii="Bookman Old Style" w:hAnsi="Bookman Old Style" w:cs="BookAntiqua-Bold"/>
          <w:bCs/>
        </w:rPr>
        <w:t xml:space="preserve">In tale contesto, il lavoro avviato nell’ambito dell'Osservatorio sulla finanza e la contabilità degli enti locali, istituito presso il Ministero dell’interno, relativamente alle proposte di modifica della procedura di riequilibrio finanziario pluriennale e dei parametri di deficitarietà strutturale appare </w:t>
      </w:r>
      <w:r>
        <w:rPr>
          <w:rFonts w:ascii="Bookman Old Style" w:hAnsi="Bookman Old Style"/>
        </w:rPr>
        <w:t xml:space="preserve">un buon punto di partenza, </w:t>
      </w:r>
      <w:r>
        <w:rPr>
          <w:rFonts w:ascii="Bookman Old Style" w:hAnsi="Bookman Old Style" w:cs="BookAntiqua-Bold"/>
          <w:bCs/>
        </w:rPr>
        <w:t xml:space="preserve">in attesa di un’auspicata revisione organica del Titolo VIII del decreto legislativo n. 267 del 2000 (TUEL), necessaria per disciplinare e regolare in maniera adeguata le procedure del pre-dissesto e del dissesto finanziario.  </w:t>
      </w:r>
    </w:p>
    <w:p w:rsidR="00AC5151" w:rsidRDefault="00826620" w:rsidP="0036040D">
      <w:pPr>
        <w:spacing w:after="120" w:line="259" w:lineRule="auto"/>
        <w:jc w:val="both"/>
        <w:rPr>
          <w:rFonts w:ascii="Bookman Old Style" w:hAnsi="Bookman Old Style" w:cs="BookAntiqua-Bold"/>
          <w:bCs/>
        </w:rPr>
      </w:pPr>
      <w:r>
        <w:rPr>
          <w:rFonts w:ascii="Bookman Old Style" w:hAnsi="Bookman Old Style" w:cs="BookAntiqua-Bold"/>
          <w:bCs/>
        </w:rPr>
        <w:t xml:space="preserve">Con riferimento alla procedura di riequilibrio finanziario pluriennale, in particolare, le principali questioni ancora irrisolte </w:t>
      </w:r>
      <w:r w:rsidR="00C235CC">
        <w:rPr>
          <w:rFonts w:ascii="Bookman Old Style" w:hAnsi="Bookman Old Style" w:cs="BookAntiqua-Bold"/>
          <w:bCs/>
        </w:rPr>
        <w:t xml:space="preserve">riguardano la </w:t>
      </w:r>
      <w:r>
        <w:rPr>
          <w:rFonts w:ascii="Bookman Old Style" w:hAnsi="Bookman Old Style" w:cs="BookAntiqua-Bold"/>
          <w:bCs/>
        </w:rPr>
        <w:t xml:space="preserve">possibilità di attivare transazioni fiscali e previdenziali con l’Erario e con l’INPS, </w:t>
      </w:r>
      <w:r w:rsidR="00C235CC">
        <w:rPr>
          <w:rFonts w:ascii="Bookman Old Style" w:hAnsi="Bookman Old Style" w:cs="BookAntiqua-Bold"/>
          <w:bCs/>
        </w:rPr>
        <w:t>considerando nella posizione dell’ente locale anche le quote delle società controllate inserite nel piano di riequilibrio, la necessità di garantire maggiore flessibilità alle modifiche del piano e di assicurare interpretazioni univoche e non restrittive a talune norme il cui contenuto di miglioramento dei vincoli viene in più di un’occasione messo a rischio da difformi pronunciamenti giurisprudenziali</w:t>
      </w:r>
      <w:r>
        <w:rPr>
          <w:rFonts w:ascii="Bookman Old Style" w:hAnsi="Bookman Old Style" w:cs="BookAntiqua-Bold"/>
          <w:bCs/>
        </w:rPr>
        <w:t xml:space="preserve">. </w:t>
      </w:r>
    </w:p>
    <w:p w:rsidR="00AC5151" w:rsidRDefault="00826620" w:rsidP="0036040D">
      <w:pPr>
        <w:spacing w:after="120" w:line="259" w:lineRule="auto"/>
        <w:jc w:val="both"/>
        <w:rPr>
          <w:rFonts w:ascii="Bookman Old Style" w:hAnsi="Bookman Old Style" w:cs="BookAntiqua-Bold"/>
          <w:bCs/>
        </w:rPr>
      </w:pPr>
      <w:r>
        <w:rPr>
          <w:rFonts w:ascii="Bookman Old Style" w:hAnsi="Bookman Old Style" w:cs="BookAntiqua-Bold"/>
          <w:bCs/>
        </w:rPr>
        <w:t xml:space="preserve">Per quanto riguarda </w:t>
      </w:r>
      <w:r w:rsidR="00C235CC">
        <w:rPr>
          <w:rFonts w:ascii="Bookman Old Style" w:hAnsi="Bookman Old Style" w:cs="BookAntiqua-Bold"/>
          <w:bCs/>
        </w:rPr>
        <w:t xml:space="preserve">il </w:t>
      </w:r>
      <w:r>
        <w:rPr>
          <w:rFonts w:ascii="Bookman Old Style" w:hAnsi="Bookman Old Style" w:cs="BookAntiqua-Bold"/>
          <w:bCs/>
        </w:rPr>
        <w:t>dissesto finanziario, la principale questione da risolvere riguarda invece la necessità di estendere a tutti gli enti locali dissestati la possibilità di presentare un’ipotesi di bilancio stabilmente riequilibrato entro un massimo di cinque anni, indipendentemente dalla taglia demografica dell’ente stesso, eliminando così il riferimento a comuni con oltre a 20.000 abitanti.</w:t>
      </w:r>
    </w:p>
    <w:p w:rsidR="002F6518" w:rsidRDefault="002F6518" w:rsidP="0036040D">
      <w:pPr>
        <w:spacing w:after="120" w:line="259" w:lineRule="auto"/>
        <w:jc w:val="both"/>
        <w:rPr>
          <w:rFonts w:ascii="Bookman Old Style" w:hAnsi="Bookman Old Style" w:cs="BookAntiqua-Bold"/>
          <w:bCs/>
        </w:rPr>
      </w:pPr>
    </w:p>
    <w:p w:rsidR="002F6518" w:rsidRPr="002F6518" w:rsidRDefault="00666126" w:rsidP="002F6518">
      <w:pPr>
        <w:pStyle w:val="Titolo1"/>
      </w:pPr>
      <w:bookmarkStart w:id="16" w:name="_Toc480278705"/>
      <w:bookmarkStart w:id="17" w:name="_Toc480289425"/>
      <w:r>
        <w:lastRenderedPageBreak/>
        <w:t>Welfare e m</w:t>
      </w:r>
      <w:r w:rsidR="002F6518" w:rsidRPr="002F6518">
        <w:t>isure per il contrasto alla povertà</w:t>
      </w:r>
      <w:bookmarkEnd w:id="16"/>
      <w:bookmarkEnd w:id="17"/>
    </w:p>
    <w:p w:rsidR="00666126" w:rsidRDefault="00666126" w:rsidP="00666126">
      <w:pPr>
        <w:autoSpaceDE w:val="0"/>
        <w:autoSpaceDN w:val="0"/>
        <w:adjustRightInd w:val="0"/>
        <w:spacing w:after="120" w:line="259" w:lineRule="auto"/>
        <w:jc w:val="both"/>
        <w:rPr>
          <w:rFonts w:ascii="Bookman Old Style" w:hAnsi="Bookman Old Style"/>
        </w:rPr>
      </w:pPr>
      <w:r>
        <w:rPr>
          <w:rFonts w:ascii="Bookman Old Style" w:hAnsi="Bookman Old Style" w:cs="Trebuchet MS"/>
          <w:color w:val="000000"/>
        </w:rPr>
        <w:t xml:space="preserve">L’ANCI condivide l’accento posto dal Governo </w:t>
      </w:r>
      <w:r w:rsidRPr="00342C21">
        <w:rPr>
          <w:rFonts w:ascii="Bookman Old Style" w:hAnsi="Bookman Old Style" w:cs="Trebuchet MS"/>
          <w:color w:val="000000"/>
        </w:rPr>
        <w:t xml:space="preserve">sulla </w:t>
      </w:r>
      <w:r w:rsidRPr="00342C21">
        <w:rPr>
          <w:rFonts w:ascii="Bookman Old Style" w:hAnsi="Bookman Old Style" w:cs="Trebuchet MS"/>
          <w:b/>
          <w:color w:val="000000"/>
        </w:rPr>
        <w:t xml:space="preserve">lotta alla </w:t>
      </w:r>
      <w:r w:rsidRPr="00E23752">
        <w:rPr>
          <w:rFonts w:ascii="Bookman Old Style" w:hAnsi="Bookman Old Style" w:cs="Trebuchet MS"/>
          <w:b/>
          <w:color w:val="000000"/>
        </w:rPr>
        <w:t>povertà e alle disuguaglianze</w:t>
      </w:r>
      <w:r w:rsidRPr="00342C21">
        <w:rPr>
          <w:rFonts w:ascii="Bookman Old Style" w:hAnsi="Bookman Old Style"/>
        </w:rPr>
        <w:t xml:space="preserve"> </w:t>
      </w:r>
      <w:r w:rsidRPr="006F6A0E">
        <w:rPr>
          <w:rFonts w:ascii="Bookman Old Style" w:hAnsi="Bookman Old Style"/>
        </w:rPr>
        <w:t>all’interno della società</w:t>
      </w:r>
      <w:r>
        <w:rPr>
          <w:rFonts w:ascii="Bookman Old Style" w:hAnsi="Bookman Old Style"/>
        </w:rPr>
        <w:t>,</w:t>
      </w:r>
      <w:r w:rsidRPr="006F6A0E">
        <w:rPr>
          <w:rFonts w:ascii="Bookman Old Style" w:hAnsi="Bookman Old Style"/>
        </w:rPr>
        <w:t xml:space="preserve"> sia in termini di reddito sia di opportunità</w:t>
      </w:r>
      <w:r>
        <w:rPr>
          <w:rFonts w:ascii="Bookman Old Style" w:hAnsi="Bookman Old Style"/>
        </w:rPr>
        <w:t xml:space="preserve">, espresso all’interno </w:t>
      </w:r>
      <w:r>
        <w:rPr>
          <w:rFonts w:ascii="Bookman Old Style" w:hAnsi="Bookman Old Style" w:cs="Trebuchet MS"/>
          <w:color w:val="000000"/>
        </w:rPr>
        <w:t xml:space="preserve">del </w:t>
      </w:r>
      <w:r w:rsidRPr="00342C21">
        <w:rPr>
          <w:rFonts w:ascii="Bookman Old Style" w:hAnsi="Bookman Old Style" w:cs="Trebuchet MS"/>
          <w:color w:val="000000"/>
        </w:rPr>
        <w:t>Documento di economia e finanza 2017</w:t>
      </w:r>
      <w:r>
        <w:rPr>
          <w:rFonts w:ascii="Bookman Old Style" w:hAnsi="Bookman Old Style" w:cs="Trebuchet MS"/>
          <w:color w:val="000000"/>
        </w:rPr>
        <w:t xml:space="preserve">, che riporta finalmente tale tema al centro dell’iniziativa politica, attraverso un approccio </w:t>
      </w:r>
      <w:r w:rsidRPr="006F6A0E">
        <w:rPr>
          <w:rFonts w:ascii="Bookman Old Style" w:hAnsi="Bookman Old Style"/>
        </w:rPr>
        <w:t>multidimensionale</w:t>
      </w:r>
      <w:r>
        <w:rPr>
          <w:rFonts w:ascii="Bookman Old Style" w:hAnsi="Bookman Old Style"/>
        </w:rPr>
        <w:t>,</w:t>
      </w:r>
      <w:r w:rsidRPr="00805E22">
        <w:rPr>
          <w:rFonts w:ascii="Bookman Old Style" w:hAnsi="Bookman Old Style"/>
        </w:rPr>
        <w:t xml:space="preserve"> </w:t>
      </w:r>
      <w:r w:rsidRPr="006F6A0E">
        <w:rPr>
          <w:rFonts w:ascii="Bookman Old Style" w:hAnsi="Bookman Old Style"/>
        </w:rPr>
        <w:t xml:space="preserve">che va oltre l'attenzione al solo reddito </w:t>
      </w:r>
      <w:r>
        <w:rPr>
          <w:rFonts w:ascii="Bookman Old Style" w:hAnsi="Bookman Old Style"/>
        </w:rPr>
        <w:t>e</w:t>
      </w:r>
      <w:r w:rsidRPr="006F6A0E">
        <w:rPr>
          <w:rFonts w:ascii="Bookman Old Style" w:hAnsi="Bookman Old Style"/>
        </w:rPr>
        <w:t xml:space="preserve"> si estend</w:t>
      </w:r>
      <w:r>
        <w:rPr>
          <w:rFonts w:ascii="Bookman Old Style" w:hAnsi="Bookman Old Style"/>
        </w:rPr>
        <w:t>e</w:t>
      </w:r>
      <w:r w:rsidRPr="006F6A0E">
        <w:rPr>
          <w:rFonts w:ascii="Bookman Old Style" w:hAnsi="Bookman Old Style"/>
        </w:rPr>
        <w:t xml:space="preserve"> ad altre dimensioni chiave del benessere</w:t>
      </w:r>
      <w:r>
        <w:rPr>
          <w:rFonts w:ascii="Bookman Old Style" w:hAnsi="Bookman Old Style"/>
        </w:rPr>
        <w:t>, come sollecitato anche dall’ANCI.</w:t>
      </w:r>
    </w:p>
    <w:p w:rsidR="00666126" w:rsidRDefault="00666126" w:rsidP="00666126">
      <w:pPr>
        <w:autoSpaceDE w:val="0"/>
        <w:autoSpaceDN w:val="0"/>
        <w:adjustRightInd w:val="0"/>
        <w:spacing w:after="120" w:line="259" w:lineRule="auto"/>
        <w:jc w:val="both"/>
        <w:rPr>
          <w:rFonts w:ascii="Bookman Old Style" w:hAnsi="Bookman Old Style" w:cs="Trebuchet MS"/>
          <w:color w:val="000000"/>
        </w:rPr>
      </w:pPr>
      <w:r>
        <w:rPr>
          <w:rFonts w:ascii="Bookman Old Style" w:hAnsi="Bookman Old Style" w:cs="Trebuchet MS"/>
        </w:rPr>
        <w:t xml:space="preserve">L’Associazione Nazione dei Comuni ritiene infatti essenziale l’attenzione a tale tema, specie in virtù del fatto che, come ha dimostrato anche l’esperienza del </w:t>
      </w:r>
      <w:r w:rsidRPr="00805E22">
        <w:rPr>
          <w:rFonts w:ascii="Bookman Old Style" w:hAnsi="Bookman Old Style" w:cs="Trebuchet MS"/>
          <w:color w:val="000000"/>
        </w:rPr>
        <w:t>Sostegno per l’Inclusione Attiva (SIA)</w:t>
      </w:r>
      <w:r>
        <w:rPr>
          <w:rFonts w:ascii="Bookman Old Style" w:hAnsi="Bookman Old Style" w:cs="Trebuchet MS"/>
        </w:rPr>
        <w:t>, i</w:t>
      </w:r>
      <w:r w:rsidRPr="00805E22">
        <w:rPr>
          <w:rFonts w:ascii="Bookman Old Style" w:hAnsi="Bookman Old Style" w:cs="Trebuchet MS"/>
          <w:color w:val="000000"/>
        </w:rPr>
        <w:t xml:space="preserve"> Comuni italiani, da quelli metropolitani a quelli più piccoli, sono gli enti locali più vicini ai cittadini e svolgono un ruolo chiave nell’erogazione dei servizi sociali sul territorio facendo fronte, con senso di responsabilità, in carenza di risorse e nonostante le difficoltà di questi anni, alle richieste di informazione e assistenza da parte dell’utenza. </w:t>
      </w:r>
      <w:r w:rsidRPr="005B5B61">
        <w:rPr>
          <w:rFonts w:ascii="Bookman Old Style" w:hAnsi="Bookman Old Style" w:cs="Trebuchet MS"/>
          <w:b/>
          <w:color w:val="000000"/>
        </w:rPr>
        <w:t>Il Comune è dunque il vero protagonista</w:t>
      </w:r>
      <w:r w:rsidRPr="005B5B61">
        <w:rPr>
          <w:rFonts w:ascii="Bookman Old Style" w:hAnsi="Bookman Old Style" w:cs="Trebuchet MS"/>
          <w:b/>
        </w:rPr>
        <w:t xml:space="preserve">, </w:t>
      </w:r>
      <w:r w:rsidRPr="005B5B61">
        <w:rPr>
          <w:rFonts w:ascii="Bookman Old Style" w:hAnsi="Bookman Old Style" w:cs="Trebuchet MS"/>
          <w:b/>
          <w:color w:val="000000"/>
        </w:rPr>
        <w:t>in forma singola e/o associata,</w:t>
      </w:r>
      <w:r w:rsidRPr="005B5B61">
        <w:rPr>
          <w:rFonts w:ascii="Bookman Old Style" w:hAnsi="Bookman Old Style" w:cs="Trebuchet MS"/>
          <w:b/>
        </w:rPr>
        <w:t xml:space="preserve"> della predisposizione e attuazione delle </w:t>
      </w:r>
      <w:r w:rsidRPr="005B5B61">
        <w:rPr>
          <w:rFonts w:ascii="Bookman Old Style" w:hAnsi="Bookman Old Style"/>
          <w:b/>
          <w:iCs/>
        </w:rPr>
        <w:t>misure di accompagnamento volte a promuovere l’inclusione sociale e l’attivazione lavorativa</w:t>
      </w:r>
      <w:r w:rsidRPr="00805E22">
        <w:rPr>
          <w:rFonts w:ascii="Bookman Old Style" w:hAnsi="Bookman Old Style" w:cs="Trebuchet MS"/>
          <w:color w:val="000000"/>
        </w:rPr>
        <w:t>.</w:t>
      </w:r>
    </w:p>
    <w:p w:rsidR="00666126" w:rsidRPr="00E57C93" w:rsidRDefault="00666126" w:rsidP="00666126">
      <w:pPr>
        <w:autoSpaceDE w:val="0"/>
        <w:autoSpaceDN w:val="0"/>
        <w:adjustRightInd w:val="0"/>
        <w:spacing w:after="120" w:line="259" w:lineRule="auto"/>
        <w:jc w:val="both"/>
        <w:rPr>
          <w:rFonts w:ascii="Bookman Old Style" w:hAnsi="Bookman Old Style" w:cs="Trebuchet MS"/>
          <w:color w:val="000000"/>
        </w:rPr>
      </w:pPr>
      <w:r w:rsidRPr="00342C21">
        <w:rPr>
          <w:rFonts w:ascii="Bookman Old Style" w:hAnsi="Bookman Old Style" w:cs="Trebuchet MS"/>
          <w:color w:val="000000"/>
        </w:rPr>
        <w:t xml:space="preserve">Oltre ad aver introdotto </w:t>
      </w:r>
      <w:r w:rsidRPr="00342C21">
        <w:rPr>
          <w:rFonts w:ascii="Bookman Old Style" w:hAnsi="Bookman Old Style" w:cs="Trebuchet MS"/>
          <w:b/>
          <w:color w:val="000000"/>
        </w:rPr>
        <w:t>alcuni indicatori del BES (Benessere Equo e Sostenibile) che tengano conto anche delle dimensioni sociali del benessere dei cittadini</w:t>
      </w:r>
      <w:r w:rsidRPr="00342C21">
        <w:rPr>
          <w:rFonts w:ascii="Bookman Old Style" w:hAnsi="Bookman Old Style" w:cs="Trebuchet MS"/>
          <w:color w:val="000000"/>
        </w:rPr>
        <w:t xml:space="preserve">, quali l’andamento del reddito medio disponibile, della diseguaglianza dei redditi e della mancata partecipazione al mercato del lavoro, utili a valutare l’impatto delle politiche pubbliche sulle condizioni socio-economiche della popolazione,il Documento si focalizza sulla </w:t>
      </w:r>
      <w:r w:rsidRPr="00606CD6">
        <w:rPr>
          <w:rFonts w:ascii="Bookman Old Style" w:hAnsi="Bookman Old Style" w:cs="Trebuchet MS"/>
          <w:b/>
          <w:color w:val="000000"/>
        </w:rPr>
        <w:t>strategia di contrasto alla povertà</w:t>
      </w:r>
      <w:r w:rsidRPr="00342C21">
        <w:rPr>
          <w:rFonts w:ascii="Bookman Old Style" w:hAnsi="Bookman Old Style" w:cs="Trebuchet MS"/>
          <w:color w:val="000000"/>
        </w:rPr>
        <w:t xml:space="preserve"> imperniata sulla </w:t>
      </w:r>
      <w:r w:rsidRPr="00342C21">
        <w:rPr>
          <w:rFonts w:ascii="Bookman Old Style" w:hAnsi="Bookman Old Style" w:cs="Trebuchet MS"/>
          <w:b/>
          <w:color w:val="000000"/>
        </w:rPr>
        <w:t>legge delega n. 33 del 15 marzo 2017</w:t>
      </w:r>
      <w:r w:rsidRPr="00342C21">
        <w:rPr>
          <w:rFonts w:ascii="Bookman Old Style" w:hAnsi="Bookman Old Style" w:cs="Trebuchet MS"/>
          <w:color w:val="000000"/>
        </w:rPr>
        <w:t>, che ha finalmente introdotto, anche in Italia al pari degli altri Paesi europei, una misura nazionale e strutturale di sostegno economico ai nuclei in condizione di povertà</w:t>
      </w:r>
      <w:r w:rsidRPr="00342C21">
        <w:rPr>
          <w:rFonts w:ascii="Bookman Old Style" w:hAnsi="Bookman Old Style" w:cs="Trebuchet MS"/>
          <w:b/>
          <w:bCs/>
          <w:color w:val="000000"/>
        </w:rPr>
        <w:t xml:space="preserve"> </w:t>
      </w:r>
      <w:r>
        <w:rPr>
          <w:rFonts w:ascii="Bookman Old Style" w:hAnsi="Bookman Old Style" w:cs="Trebuchet MS"/>
          <w:b/>
          <w:bCs/>
          <w:color w:val="000000"/>
        </w:rPr>
        <w:t xml:space="preserve">(Reddito di Inclusione – </w:t>
      </w:r>
      <w:r w:rsidRPr="00342C21">
        <w:rPr>
          <w:rFonts w:ascii="Bookman Old Style" w:hAnsi="Bookman Old Style" w:cs="Trebuchet MS"/>
          <w:b/>
          <w:bCs/>
          <w:color w:val="000000"/>
        </w:rPr>
        <w:t>REI)</w:t>
      </w:r>
      <w:r w:rsidRPr="00342C21">
        <w:rPr>
          <w:rFonts w:ascii="Bookman Old Style" w:hAnsi="Bookman Old Style" w:cs="Trebuchet MS"/>
          <w:color w:val="000000"/>
        </w:rPr>
        <w:t>,</w:t>
      </w:r>
      <w:r w:rsidRPr="00342C21">
        <w:rPr>
          <w:rFonts w:ascii="Bookman Old Style" w:hAnsi="Bookman Old Style"/>
          <w:iCs/>
        </w:rPr>
        <w:t xml:space="preserve"> mirante a promuovere il reinserimento nella società e nel mondo del lavoro di coloro che ne sono esclusi: la misura si fonda infatti sul principio dell’inclusione attiva e vincola il sussidio economico a misure di accompagnamento (progetto personalizzato) capaci di promuovere l’inclusione sociale e l’attivazione </w:t>
      </w:r>
      <w:r w:rsidRPr="00E57C93">
        <w:rPr>
          <w:rFonts w:ascii="Bookman Old Style" w:hAnsi="Bookman Old Style"/>
          <w:iCs/>
        </w:rPr>
        <w:t>lavorativa, misure alle quali il beneficiario deve partecipare attivamente.</w:t>
      </w:r>
    </w:p>
    <w:p w:rsidR="00666126" w:rsidRPr="00342C21" w:rsidRDefault="00666126" w:rsidP="00666126">
      <w:pPr>
        <w:autoSpaceDE w:val="0"/>
        <w:autoSpaceDN w:val="0"/>
        <w:adjustRightInd w:val="0"/>
        <w:spacing w:after="120" w:line="259" w:lineRule="auto"/>
        <w:jc w:val="both"/>
        <w:rPr>
          <w:rFonts w:ascii="Bookman Old Style" w:hAnsi="Bookman Old Style" w:cs="Trebuchet MS"/>
        </w:rPr>
      </w:pPr>
      <w:r w:rsidRPr="00342C21">
        <w:rPr>
          <w:rFonts w:ascii="Bookman Old Style" w:hAnsi="Bookman Old Style" w:cs="Trebuchet MS"/>
        </w:rPr>
        <w:t xml:space="preserve">Il REI </w:t>
      </w:r>
      <w:r w:rsidRPr="00342C21">
        <w:rPr>
          <w:rFonts w:ascii="Bookman Old Style" w:hAnsi="Bookman Old Style" w:cs="Trebuchet MS"/>
          <w:color w:val="000000"/>
        </w:rPr>
        <w:t>prenderà il posto della misura attualmente in vigore, il Sostegno per l’Inclusione Attiva (SIA)</w:t>
      </w:r>
      <w:r w:rsidRPr="00342C21">
        <w:rPr>
          <w:rFonts w:ascii="Bookman Old Style" w:hAnsi="Bookman Old Style" w:cs="Trebuchet MS"/>
        </w:rPr>
        <w:t xml:space="preserve">, che è operativa da settembre 2016 e ha sinora dato sostegno a circa 65 mila famiglie per un totale di 250 mila persone. L’obiettivo del Governo è quello di arrivare a raggiungere, attraverso il REI, oltre 400 mila nuclei familiari (prioritariamente famiglie con bambini in povertà assoluta), per un totale di 1 milione e 770 mila persone. </w:t>
      </w:r>
    </w:p>
    <w:p w:rsidR="00666126" w:rsidRPr="00342C21" w:rsidRDefault="00666126" w:rsidP="00666126">
      <w:pPr>
        <w:autoSpaceDE w:val="0"/>
        <w:autoSpaceDN w:val="0"/>
        <w:adjustRightInd w:val="0"/>
        <w:spacing w:after="120" w:line="259" w:lineRule="auto"/>
        <w:jc w:val="both"/>
        <w:rPr>
          <w:rFonts w:ascii="Bookman Old Style" w:hAnsi="Bookman Old Style" w:cs="Trebuchet MS"/>
          <w:color w:val="000000"/>
        </w:rPr>
      </w:pPr>
      <w:r w:rsidRPr="00342C21">
        <w:rPr>
          <w:rFonts w:ascii="Bookman Old Style" w:hAnsi="Bookman Old Style" w:cs="Trebuchet MS"/>
          <w:color w:val="000000"/>
        </w:rPr>
        <w:t xml:space="preserve">La legge delega 33/2017 autorizza il Governo ad intervenire su tre ambiti: il varo del </w:t>
      </w:r>
      <w:r w:rsidRPr="00342C21">
        <w:rPr>
          <w:rFonts w:ascii="Bookman Old Style" w:hAnsi="Bookman Old Style" w:cs="Trebuchet MS"/>
          <w:bCs/>
          <w:color w:val="000000"/>
        </w:rPr>
        <w:t>Reddito di Inclusione (REI)</w:t>
      </w:r>
      <w:r w:rsidRPr="00342C21">
        <w:rPr>
          <w:rFonts w:ascii="Bookman Old Style" w:hAnsi="Bookman Old Style" w:cs="Trebuchet MS"/>
          <w:color w:val="000000"/>
        </w:rPr>
        <w:t xml:space="preserve">, come misura nazionale di contrasto alla povertà, </w:t>
      </w:r>
      <w:r w:rsidRPr="00342C21">
        <w:rPr>
          <w:rFonts w:ascii="Bookman Old Style" w:hAnsi="Bookman Old Style"/>
          <w:iCs/>
        </w:rPr>
        <w:t>prevedendo, già rispetto al SIA,</w:t>
      </w:r>
      <w:r w:rsidRPr="00342C21">
        <w:rPr>
          <w:rFonts w:ascii="Bookman Old Style" w:hAnsi="Bookman Old Style" w:cs="Trebuchet MS"/>
          <w:color w:val="000000"/>
        </w:rPr>
        <w:t xml:space="preserve"> un progressivo ampliamento della platea di beneficiari ed una ridefinizione del beneficio economico (comunque condizionato alla partecipazione a progetti di inclusione sociale); il riordino delle prestazioni assistenziali finalizzate al contrasto della povertà (carta acquisti per minori e l’assegno di disoccupazione ASDI); il rafforzamento del coordinamento degli interventi in materia di servizi sociali,</w:t>
      </w:r>
      <w:r w:rsidRPr="00342C21">
        <w:rPr>
          <w:rFonts w:ascii="Bookman Old Style" w:hAnsi="Bookman Old Style"/>
          <w:iCs/>
        </w:rPr>
        <w:t xml:space="preserve"> finalizzato a garantire maggiore omogeneità territoriale nell’erogazione delle prestazioni</w:t>
      </w:r>
      <w:r w:rsidRPr="00342C21">
        <w:rPr>
          <w:rFonts w:ascii="Bookman Old Style" w:hAnsi="Bookman Old Style" w:cs="Trebuchet MS"/>
          <w:color w:val="000000"/>
        </w:rPr>
        <w:t xml:space="preserve">. Le risorse </w:t>
      </w:r>
      <w:r w:rsidRPr="00342C21">
        <w:rPr>
          <w:rFonts w:ascii="Bookman Old Style" w:hAnsi="Bookman Old Style" w:cs="Trebuchet MS"/>
          <w:color w:val="000000"/>
        </w:rPr>
        <w:lastRenderedPageBreak/>
        <w:t xml:space="preserve">stanziate complessivamente sono di 1,18 miliardi per il 2017 e di 1,704 miliardi per il 2018. </w:t>
      </w:r>
      <w:r>
        <w:rPr>
          <w:rFonts w:ascii="Bookman Old Style" w:hAnsi="Bookman Old Style" w:cs="Trebuchet MS"/>
          <w:color w:val="000000"/>
        </w:rPr>
        <w:t>L’adozione di un</w:t>
      </w:r>
      <w:r w:rsidRPr="009337B4">
        <w:rPr>
          <w:rFonts w:ascii="Bookman Old Style" w:hAnsi="Bookman Old Style" w:cs="Trebuchet MS"/>
          <w:color w:val="000000"/>
        </w:rPr>
        <w:t xml:space="preserve"> Piano per la lotta alla povertà, di natura triennale, sulla base degli stanziamenti di bilancio, </w:t>
      </w:r>
      <w:r>
        <w:rPr>
          <w:rFonts w:ascii="Bookman Old Style" w:hAnsi="Bookman Old Style" w:cs="Trebuchet MS"/>
          <w:color w:val="000000"/>
        </w:rPr>
        <w:t xml:space="preserve">dovrà favorire il raggiungimento di un maggiore </w:t>
      </w:r>
      <w:r w:rsidRPr="009337B4">
        <w:rPr>
          <w:rFonts w:ascii="Bookman Old Style" w:hAnsi="Bookman Old Style" w:cs="Trebuchet MS"/>
          <w:color w:val="000000"/>
        </w:rPr>
        <w:t xml:space="preserve">universalismo </w:t>
      </w:r>
      <w:r>
        <w:rPr>
          <w:rFonts w:ascii="Bookman Old Style" w:hAnsi="Bookman Old Style" w:cs="Trebuchet MS"/>
          <w:color w:val="000000"/>
        </w:rPr>
        <w:t xml:space="preserve">della misura </w:t>
      </w:r>
      <w:r w:rsidRPr="009337B4">
        <w:rPr>
          <w:rFonts w:ascii="Bookman Old Style" w:hAnsi="Bookman Old Style" w:cs="Trebuchet MS"/>
          <w:color w:val="000000"/>
        </w:rPr>
        <w:t>e incrementi del beneficio</w:t>
      </w:r>
      <w:r>
        <w:rPr>
          <w:rFonts w:ascii="Bookman Old Style" w:hAnsi="Bookman Old Style" w:cs="Trebuchet MS"/>
          <w:color w:val="000000"/>
        </w:rPr>
        <w:t xml:space="preserve"> economico concesso</w:t>
      </w:r>
      <w:r w:rsidRPr="009337B4">
        <w:rPr>
          <w:rFonts w:ascii="Bookman Old Style" w:hAnsi="Bookman Old Style" w:cs="Trebuchet MS"/>
          <w:color w:val="000000"/>
        </w:rPr>
        <w:t>.</w:t>
      </w:r>
    </w:p>
    <w:p w:rsidR="00666126" w:rsidRDefault="00666126" w:rsidP="00666126">
      <w:pPr>
        <w:pStyle w:val="Default"/>
        <w:spacing w:after="120" w:line="259" w:lineRule="auto"/>
        <w:jc w:val="both"/>
        <w:rPr>
          <w:rFonts w:ascii="Bookman Old Style" w:hAnsi="Bookman Old Style" w:cs="Trebuchet MS"/>
          <w:sz w:val="22"/>
          <w:szCs w:val="22"/>
        </w:rPr>
      </w:pPr>
      <w:r w:rsidRPr="00342C21">
        <w:rPr>
          <w:rFonts w:ascii="Bookman Old Style" w:hAnsi="Bookman Old Style" w:cs="Trebuchet MS"/>
          <w:sz w:val="22"/>
          <w:szCs w:val="22"/>
        </w:rPr>
        <w:t>In merito al rafforzamento dei servizi territoriali, da realizzarsi anche a valere sulle risorse del Fondo Sociale Europeo, il REI porterà avanti il percorso già avviato con il SIA, tramite il quale, sulla base di specifiche Linee guida nazionali approvate in Conferenza Unificata, sono già stati attribuiti circa 500 milioni agli ambiti territoriali, finalizzati all’implementazione della progettazione personalizzata, mentre i Centri per l'impiego saranno rafforzati con ulteriori 600 unità specificatamente dedicate alla collaborazione in rete con i servizi sociali per il reinserimento lavorativo dei beneficiari del sostegno economico.</w:t>
      </w:r>
    </w:p>
    <w:p w:rsidR="00666126" w:rsidRDefault="00666126" w:rsidP="00666126">
      <w:pPr>
        <w:pStyle w:val="Default"/>
        <w:spacing w:after="120" w:line="259" w:lineRule="auto"/>
        <w:jc w:val="both"/>
        <w:rPr>
          <w:rFonts w:ascii="Bookman Old Style" w:hAnsi="Bookman Old Style" w:cs="Trebuchet MS"/>
          <w:sz w:val="22"/>
          <w:szCs w:val="22"/>
        </w:rPr>
      </w:pPr>
      <w:r>
        <w:rPr>
          <w:rFonts w:ascii="Bookman Old Style" w:hAnsi="Bookman Old Style" w:cs="Trebuchet MS"/>
          <w:sz w:val="22"/>
          <w:szCs w:val="22"/>
        </w:rPr>
        <w:t xml:space="preserve">L’attenzione del Governo al tema del contrasto della povertà e delle disuguaglianze, in un’ottica di politiche integrate, ci appare senz’altro positiva. Affinché gli obiettivi della legge 33/2017 si realizzino, è tuttavia necessario porre </w:t>
      </w:r>
      <w:r w:rsidRPr="00E57C93">
        <w:rPr>
          <w:rFonts w:ascii="Bookman Old Style" w:hAnsi="Bookman Old Style" w:cs="Trebuchet MS"/>
          <w:sz w:val="22"/>
          <w:szCs w:val="22"/>
        </w:rPr>
        <w:t>adeguata attenzione alla loro declinazione tramite i decreti legislativi attuativi che verranno approvati. Accogliamo con</w:t>
      </w:r>
      <w:r>
        <w:rPr>
          <w:rFonts w:ascii="Bookman Old Style" w:hAnsi="Bookman Old Style" w:cs="Trebuchet MS"/>
          <w:sz w:val="22"/>
          <w:szCs w:val="22"/>
        </w:rPr>
        <w:t xml:space="preserve"> favore l’obiettivo di giungere progressivamente a un maggiore universalismo estendendo la platea dei beneficiari e incrementando il beneficio economico previsto, ma tale obiettivo va sostenuto con un’effettiva disponibilità di </w:t>
      </w:r>
      <w:r w:rsidRPr="00353359">
        <w:rPr>
          <w:rFonts w:ascii="Bookman Old Style" w:hAnsi="Bookman Old Style" w:cs="Trebuchet MS"/>
          <w:b/>
          <w:sz w:val="22"/>
          <w:szCs w:val="22"/>
        </w:rPr>
        <w:t>risorse finanziarie crescenti, adeguate e strutturali</w:t>
      </w:r>
      <w:r>
        <w:rPr>
          <w:rFonts w:ascii="Bookman Old Style" w:hAnsi="Bookman Old Style" w:cs="Trebuchet MS"/>
          <w:sz w:val="22"/>
          <w:szCs w:val="22"/>
        </w:rPr>
        <w:t>.</w:t>
      </w:r>
    </w:p>
    <w:p w:rsidR="00666126" w:rsidRDefault="00666126" w:rsidP="00666126">
      <w:pPr>
        <w:pStyle w:val="Default"/>
        <w:spacing w:after="120" w:line="259" w:lineRule="auto"/>
        <w:jc w:val="both"/>
        <w:rPr>
          <w:rFonts w:ascii="Bookman Old Style" w:hAnsi="Bookman Old Style" w:cs="Trebuchet MS"/>
          <w:sz w:val="22"/>
          <w:szCs w:val="22"/>
        </w:rPr>
      </w:pPr>
      <w:r w:rsidRPr="005B5B61">
        <w:rPr>
          <w:rFonts w:ascii="Bookman Old Style" w:hAnsi="Bookman Old Style" w:cs="Trebuchet MS"/>
          <w:sz w:val="22"/>
          <w:szCs w:val="22"/>
        </w:rPr>
        <w:t>Data l’imprescindibile centralità dei Comuni, già</w:t>
      </w:r>
      <w:r>
        <w:rPr>
          <w:rFonts w:ascii="Bookman Old Style" w:hAnsi="Bookman Old Style" w:cs="Trebuchet MS"/>
          <w:sz w:val="22"/>
          <w:szCs w:val="22"/>
        </w:rPr>
        <w:t xml:space="preserve"> richiamata all’inizio, riteniamo che, </w:t>
      </w:r>
      <w:r w:rsidRPr="00805E22">
        <w:rPr>
          <w:rFonts w:ascii="Bookman Old Style" w:hAnsi="Bookman Old Style" w:cs="Trebuchet MS"/>
          <w:sz w:val="22"/>
          <w:szCs w:val="22"/>
        </w:rPr>
        <w:t xml:space="preserve">nel percorso di attuazione della delega, </w:t>
      </w:r>
      <w:r>
        <w:rPr>
          <w:rFonts w:ascii="Bookman Old Style" w:hAnsi="Bookman Old Style" w:cs="Trebuchet MS"/>
          <w:sz w:val="22"/>
          <w:szCs w:val="22"/>
        </w:rPr>
        <w:t xml:space="preserve">sia indispensabile </w:t>
      </w:r>
      <w:r w:rsidRPr="005B5B61">
        <w:rPr>
          <w:rFonts w:ascii="Bookman Old Style" w:hAnsi="Bookman Old Style" w:cs="Trebuchet MS"/>
          <w:b/>
          <w:sz w:val="22"/>
          <w:szCs w:val="22"/>
        </w:rPr>
        <w:t xml:space="preserve">che l’ANCI veda riconosciuto il suo ruolo fondamentale di interlocutore privilegiato del Governo, affinché sia </w:t>
      </w:r>
      <w:r w:rsidRPr="005B5B61">
        <w:rPr>
          <w:rFonts w:ascii="Bookman Old Style" w:hAnsi="Bookman Old Style"/>
          <w:b/>
          <w:iCs/>
          <w:sz w:val="22"/>
          <w:szCs w:val="22"/>
        </w:rPr>
        <w:t>definito, adeguatamente valorizzato e sostenuto il ruolo dei Comu</w:t>
      </w:r>
      <w:r>
        <w:rPr>
          <w:rFonts w:ascii="Bookman Old Style" w:hAnsi="Bookman Old Style"/>
          <w:b/>
          <w:iCs/>
          <w:sz w:val="22"/>
          <w:szCs w:val="22"/>
        </w:rPr>
        <w:t xml:space="preserve">ni. </w:t>
      </w:r>
    </w:p>
    <w:p w:rsidR="00666126" w:rsidRDefault="00666126" w:rsidP="00666126">
      <w:pPr>
        <w:pStyle w:val="Default"/>
        <w:spacing w:after="120" w:line="259" w:lineRule="auto"/>
        <w:jc w:val="both"/>
        <w:rPr>
          <w:rFonts w:ascii="Bookman Old Style" w:hAnsi="Bookman Old Style"/>
          <w:iCs/>
          <w:sz w:val="22"/>
          <w:szCs w:val="22"/>
        </w:rPr>
      </w:pPr>
      <w:r>
        <w:rPr>
          <w:rFonts w:ascii="Bookman Old Style" w:hAnsi="Bookman Old Style"/>
          <w:iCs/>
          <w:sz w:val="22"/>
          <w:szCs w:val="22"/>
        </w:rPr>
        <w:t xml:space="preserve">Tale ruolo va ancor più riconosciuto anche nella dimensione regionale, attraverso un </w:t>
      </w:r>
      <w:r w:rsidRPr="00854F01">
        <w:rPr>
          <w:rFonts w:ascii="Bookman Old Style" w:hAnsi="Bookman Old Style"/>
          <w:b/>
          <w:iCs/>
          <w:sz w:val="22"/>
          <w:szCs w:val="22"/>
        </w:rPr>
        <w:t>diretto ed effettivo confronto tra Regioni e Comuni</w:t>
      </w:r>
      <w:r>
        <w:rPr>
          <w:rFonts w:ascii="Bookman Old Style" w:hAnsi="Bookman Old Style"/>
          <w:iCs/>
          <w:sz w:val="22"/>
          <w:szCs w:val="22"/>
        </w:rPr>
        <w:t xml:space="preserve">, in particolare per la parte riguardante la </w:t>
      </w:r>
      <w:r w:rsidRPr="00854F01">
        <w:rPr>
          <w:rFonts w:ascii="Bookman Old Style" w:hAnsi="Bookman Old Style"/>
          <w:b/>
          <w:iCs/>
          <w:sz w:val="22"/>
          <w:szCs w:val="22"/>
        </w:rPr>
        <w:t>definizione delle modalità e delle forme di gestione della misura</w:t>
      </w:r>
      <w:r>
        <w:rPr>
          <w:rFonts w:ascii="Bookman Old Style" w:hAnsi="Bookman Old Style"/>
          <w:iCs/>
          <w:sz w:val="22"/>
          <w:szCs w:val="22"/>
        </w:rPr>
        <w:t xml:space="preserve">, </w:t>
      </w:r>
      <w:r w:rsidRPr="00CE14BD">
        <w:rPr>
          <w:rFonts w:ascii="Bookman Old Style" w:hAnsi="Bookman Old Style"/>
          <w:iCs/>
          <w:sz w:val="22"/>
          <w:szCs w:val="22"/>
        </w:rPr>
        <w:t>coerentemente con la suddivisone dei poteri prevista dalla Costituzione</w:t>
      </w:r>
      <w:r>
        <w:rPr>
          <w:rFonts w:ascii="Bookman Old Style" w:hAnsi="Bookman Old Style"/>
          <w:iCs/>
          <w:sz w:val="22"/>
          <w:szCs w:val="22"/>
        </w:rPr>
        <w:t xml:space="preserve">, soprattutto laddove di riscontrino limiti o difficoltà di gestione operativa e/o amministrativa da parte degli </w:t>
      </w:r>
      <w:r w:rsidRPr="00C645B9">
        <w:rPr>
          <w:rFonts w:ascii="Bookman Old Style" w:hAnsi="Bookman Old Style"/>
          <w:b/>
          <w:iCs/>
          <w:sz w:val="22"/>
          <w:szCs w:val="22"/>
        </w:rPr>
        <w:t>Ambiti territoriali</w:t>
      </w:r>
      <w:r>
        <w:rPr>
          <w:rFonts w:ascii="Bookman Old Style" w:hAnsi="Bookman Old Style"/>
          <w:iCs/>
          <w:sz w:val="22"/>
          <w:szCs w:val="22"/>
        </w:rPr>
        <w:t xml:space="preserve">, prevedendo, nel caso, </w:t>
      </w:r>
      <w:r w:rsidRPr="00C645B9">
        <w:rPr>
          <w:rFonts w:ascii="Bookman Old Style" w:hAnsi="Bookman Old Style"/>
          <w:b/>
          <w:iCs/>
          <w:sz w:val="22"/>
          <w:szCs w:val="22"/>
        </w:rPr>
        <w:t>forme di responsabilizzazione diretta dei Comuni</w:t>
      </w:r>
      <w:r>
        <w:rPr>
          <w:rFonts w:ascii="Bookman Old Style" w:hAnsi="Bookman Old Style"/>
          <w:iCs/>
          <w:sz w:val="22"/>
          <w:szCs w:val="22"/>
        </w:rPr>
        <w:t>.</w:t>
      </w:r>
    </w:p>
    <w:p w:rsidR="00666126" w:rsidRPr="00CE14BD" w:rsidRDefault="00666126" w:rsidP="00666126">
      <w:pPr>
        <w:spacing w:after="120" w:line="259" w:lineRule="auto"/>
        <w:jc w:val="both"/>
        <w:rPr>
          <w:rFonts w:ascii="Bookman Old Style" w:hAnsi="Bookman Old Style"/>
        </w:rPr>
      </w:pPr>
      <w:r>
        <w:rPr>
          <w:rFonts w:ascii="Bookman Old Style" w:hAnsi="Bookman Old Style"/>
        </w:rPr>
        <w:t>Inoltre, è necessario che</w:t>
      </w:r>
      <w:r w:rsidRPr="00CE14BD">
        <w:rPr>
          <w:rFonts w:ascii="Bookman Old Style" w:hAnsi="Bookman Old Style"/>
        </w:rPr>
        <w:t xml:space="preserve"> le </w:t>
      </w:r>
      <w:r w:rsidRPr="00CE14BD">
        <w:rPr>
          <w:rFonts w:ascii="Bookman Old Style" w:hAnsi="Bookman Old Style"/>
          <w:b/>
        </w:rPr>
        <w:t>Regioni attivino tempestivamente gli adempimenti di loro competenza</w:t>
      </w:r>
      <w:r w:rsidRPr="00CE14BD">
        <w:rPr>
          <w:rFonts w:ascii="Bookman Old Style" w:hAnsi="Bookman Old Style"/>
        </w:rPr>
        <w:t xml:space="preserve"> (secondo quanto previsto già dal SIA, rafforzamento dei servizi territoriali di loro competenza, coordinamento inter-assessorile e promozione delle condizioni che favoriscano la costituzione delle reti di servizi territoriali): particolare attenzione dovrà essere posta al rapporto – strategico – con i </w:t>
      </w:r>
      <w:r w:rsidRPr="00CE14BD">
        <w:rPr>
          <w:rFonts w:ascii="Bookman Old Style" w:hAnsi="Bookman Old Style"/>
          <w:b/>
        </w:rPr>
        <w:t>Centri per l’impiego</w:t>
      </w:r>
      <w:r w:rsidRPr="00CE14BD">
        <w:rPr>
          <w:rFonts w:ascii="Bookman Old Style" w:hAnsi="Bookman Old Style"/>
        </w:rPr>
        <w:t>, data la diffusa difficoltà dei Comuni a dialogare con questi al fine di attivare interventi integrati di inclusione socio-lavorativa, e tenuto conto che non è ancora stato chiarito definitivamente il quadro delle competenze in materia di mercato del lavoro sul territorio.</w:t>
      </w:r>
    </w:p>
    <w:p w:rsidR="00666126" w:rsidRDefault="00666126" w:rsidP="00666126">
      <w:pPr>
        <w:pStyle w:val="Default"/>
        <w:spacing w:after="120" w:line="259" w:lineRule="auto"/>
        <w:jc w:val="both"/>
        <w:rPr>
          <w:rFonts w:ascii="Bookman Old Style" w:hAnsi="Bookman Old Style" w:cs="Trebuchet MS"/>
          <w:sz w:val="22"/>
          <w:szCs w:val="22"/>
        </w:rPr>
      </w:pPr>
      <w:r>
        <w:rPr>
          <w:rFonts w:ascii="Bookman Old Style" w:hAnsi="Bookman Old Style" w:cs="Trebuchet MS"/>
          <w:sz w:val="22"/>
          <w:szCs w:val="22"/>
        </w:rPr>
        <w:t xml:space="preserve">Il </w:t>
      </w:r>
      <w:r w:rsidRPr="00353359">
        <w:rPr>
          <w:rFonts w:ascii="Bookman Old Style" w:hAnsi="Bookman Old Style" w:cs="Trebuchet MS"/>
          <w:b/>
          <w:sz w:val="22"/>
          <w:szCs w:val="22"/>
        </w:rPr>
        <w:t>rafforzamento dei servizi sociali</w:t>
      </w:r>
      <w:r>
        <w:rPr>
          <w:rFonts w:ascii="Bookman Old Style" w:hAnsi="Bookman Old Style" w:cs="Trebuchet MS"/>
          <w:sz w:val="22"/>
          <w:szCs w:val="22"/>
        </w:rPr>
        <w:t xml:space="preserve">, che riteniamo di fondamentale importanza, va concretamente assicurato con risorse adeguate, certe e durature, sia permettendo uno </w:t>
      </w:r>
      <w:r w:rsidRPr="00353359">
        <w:rPr>
          <w:rFonts w:ascii="Bookman Old Style" w:hAnsi="Bookman Old Style" w:cs="Trebuchet MS"/>
          <w:b/>
          <w:sz w:val="22"/>
          <w:szCs w:val="22"/>
        </w:rPr>
        <w:t>sblocco del turn over</w:t>
      </w:r>
      <w:r>
        <w:rPr>
          <w:rFonts w:ascii="Bookman Old Style" w:hAnsi="Bookman Old Style" w:cs="Trebuchet MS"/>
          <w:sz w:val="22"/>
          <w:szCs w:val="22"/>
        </w:rPr>
        <w:t xml:space="preserve"> almeno per le professioni sociali direttamente coinvolte nella presa in carico, sia </w:t>
      </w:r>
      <w:r w:rsidRPr="00353359">
        <w:rPr>
          <w:rFonts w:ascii="Bookman Old Style" w:hAnsi="Bookman Old Style" w:cs="Trebuchet MS"/>
          <w:b/>
          <w:sz w:val="22"/>
          <w:szCs w:val="22"/>
        </w:rPr>
        <w:t>finalizzando una quota parte dei fondi strutturali</w:t>
      </w:r>
      <w:r>
        <w:rPr>
          <w:rFonts w:ascii="Bookman Old Style" w:hAnsi="Bookman Old Style" w:cs="Trebuchet MS"/>
          <w:sz w:val="22"/>
          <w:szCs w:val="22"/>
        </w:rPr>
        <w:t xml:space="preserve"> </w:t>
      </w:r>
      <w:r w:rsidRPr="00C81672">
        <w:rPr>
          <w:rFonts w:ascii="Bookman Old Style" w:hAnsi="Bookman Old Style" w:cs="Trebuchet MS"/>
          <w:sz w:val="22"/>
          <w:szCs w:val="22"/>
        </w:rPr>
        <w:t xml:space="preserve">nazionali </w:t>
      </w:r>
      <w:r w:rsidRPr="00353359">
        <w:rPr>
          <w:rFonts w:ascii="Bookman Old Style" w:hAnsi="Bookman Old Style" w:cs="Trebuchet MS"/>
          <w:b/>
          <w:sz w:val="22"/>
          <w:szCs w:val="22"/>
        </w:rPr>
        <w:t>e</w:t>
      </w:r>
      <w:r w:rsidRPr="00C81672">
        <w:rPr>
          <w:rFonts w:ascii="Bookman Old Style" w:hAnsi="Bookman Old Style" w:cs="Trebuchet MS"/>
          <w:sz w:val="22"/>
          <w:szCs w:val="22"/>
        </w:rPr>
        <w:t xml:space="preserve"> delle </w:t>
      </w:r>
      <w:r w:rsidRPr="00C81672">
        <w:rPr>
          <w:rFonts w:ascii="Bookman Old Style" w:hAnsi="Bookman Old Style" w:cs="Trebuchet MS"/>
          <w:sz w:val="22"/>
          <w:szCs w:val="22"/>
        </w:rPr>
        <w:lastRenderedPageBreak/>
        <w:t>eventuali</w:t>
      </w:r>
      <w:r>
        <w:rPr>
          <w:rFonts w:ascii="Bookman Old Style" w:hAnsi="Bookman Old Style" w:cs="Trebuchet MS"/>
          <w:sz w:val="22"/>
          <w:szCs w:val="22"/>
        </w:rPr>
        <w:t xml:space="preserve"> economie derivanti dai </w:t>
      </w:r>
      <w:r w:rsidRPr="00353359">
        <w:rPr>
          <w:rFonts w:ascii="Bookman Old Style" w:hAnsi="Bookman Old Style" w:cs="Trebuchet MS"/>
          <w:b/>
          <w:sz w:val="22"/>
          <w:szCs w:val="22"/>
        </w:rPr>
        <w:t>risparmi di spesa</w:t>
      </w:r>
      <w:r w:rsidRPr="00C81672">
        <w:rPr>
          <w:rFonts w:ascii="Bookman Old Style" w:hAnsi="Bookman Old Style" w:cs="Trebuchet MS"/>
          <w:sz w:val="22"/>
          <w:szCs w:val="22"/>
        </w:rPr>
        <w:t xml:space="preserve"> (</w:t>
      </w:r>
      <w:r>
        <w:rPr>
          <w:rFonts w:ascii="Bookman Old Style" w:hAnsi="Bookman Old Style" w:cs="Trebuchet MS"/>
          <w:sz w:val="22"/>
          <w:szCs w:val="22"/>
        </w:rPr>
        <w:t>in virtù del previsto</w:t>
      </w:r>
      <w:r w:rsidRPr="00C81672">
        <w:rPr>
          <w:rFonts w:ascii="Bookman Old Style" w:hAnsi="Bookman Old Style" w:cs="Trebuchet MS"/>
          <w:sz w:val="22"/>
          <w:szCs w:val="22"/>
        </w:rPr>
        <w:t xml:space="preserve"> riordino delle prestazioni assistenziali vigenti  per il contrasto alla povertà) </w:t>
      </w:r>
      <w:r>
        <w:rPr>
          <w:rFonts w:ascii="Bookman Old Style" w:hAnsi="Bookman Old Style" w:cs="Trebuchet MS"/>
          <w:sz w:val="22"/>
          <w:szCs w:val="22"/>
        </w:rPr>
        <w:t xml:space="preserve">per </w:t>
      </w:r>
      <w:r w:rsidRPr="00C81672">
        <w:rPr>
          <w:rFonts w:ascii="Bookman Old Style" w:hAnsi="Bookman Old Style" w:cs="Trebuchet MS"/>
          <w:sz w:val="22"/>
          <w:szCs w:val="22"/>
        </w:rPr>
        <w:t>tale specifico obiettivo di rafforzamento</w:t>
      </w:r>
      <w:r>
        <w:rPr>
          <w:rFonts w:ascii="Bookman Old Style" w:hAnsi="Bookman Old Style" w:cs="Trebuchet MS"/>
          <w:sz w:val="22"/>
          <w:szCs w:val="22"/>
        </w:rPr>
        <w:t>. Inoltre, va garantito</w:t>
      </w:r>
      <w:r w:rsidRPr="00C81672">
        <w:rPr>
          <w:rFonts w:ascii="Bookman Old Style" w:hAnsi="Bookman Old Style" w:cs="Trebuchet MS"/>
          <w:sz w:val="22"/>
          <w:szCs w:val="22"/>
        </w:rPr>
        <w:t xml:space="preserve">, a </w:t>
      </w:r>
      <w:r>
        <w:rPr>
          <w:rFonts w:ascii="Bookman Old Style" w:hAnsi="Bookman Old Style" w:cs="Trebuchet MS"/>
          <w:sz w:val="22"/>
          <w:szCs w:val="22"/>
        </w:rPr>
        <w:t>sostegno</w:t>
      </w:r>
      <w:r w:rsidRPr="00C81672">
        <w:rPr>
          <w:rFonts w:ascii="Bookman Old Style" w:hAnsi="Bookman Old Style" w:cs="Trebuchet MS"/>
          <w:sz w:val="22"/>
          <w:szCs w:val="22"/>
        </w:rPr>
        <w:t xml:space="preserve"> </w:t>
      </w:r>
      <w:r>
        <w:rPr>
          <w:rFonts w:ascii="Bookman Old Style" w:hAnsi="Bookman Old Style" w:cs="Trebuchet MS"/>
          <w:sz w:val="22"/>
          <w:szCs w:val="22"/>
        </w:rPr>
        <w:t>del ruolo dei Comuni</w:t>
      </w:r>
      <w:r w:rsidRPr="00C81672">
        <w:rPr>
          <w:rFonts w:ascii="Bookman Old Style" w:hAnsi="Bookman Old Style" w:cs="Trebuchet MS"/>
          <w:sz w:val="22"/>
          <w:szCs w:val="22"/>
        </w:rPr>
        <w:t xml:space="preserve"> singoli o associati, un</w:t>
      </w:r>
      <w:r>
        <w:rPr>
          <w:rFonts w:ascii="Bookman Old Style" w:hAnsi="Bookman Old Style" w:cs="Trebuchet MS"/>
          <w:sz w:val="22"/>
          <w:szCs w:val="22"/>
        </w:rPr>
        <w:t xml:space="preserve"> </w:t>
      </w:r>
      <w:r w:rsidRPr="00353359">
        <w:rPr>
          <w:rFonts w:ascii="Bookman Old Style" w:hAnsi="Bookman Old Style" w:cs="Trebuchet MS"/>
          <w:b/>
          <w:sz w:val="22"/>
          <w:szCs w:val="22"/>
        </w:rPr>
        <w:t>efficace coordinamento con gli altri enti e organismi competenti in materia di sanità, politiche abitative, lavoro, formazione e istruzione</w:t>
      </w:r>
      <w:r>
        <w:rPr>
          <w:rFonts w:ascii="Bookman Old Style" w:hAnsi="Bookman Old Style" w:cs="Trebuchet MS"/>
          <w:sz w:val="22"/>
          <w:szCs w:val="22"/>
        </w:rPr>
        <w:t>.</w:t>
      </w:r>
    </w:p>
    <w:p w:rsidR="00666126" w:rsidRDefault="00666126" w:rsidP="00666126">
      <w:pPr>
        <w:pStyle w:val="Default"/>
        <w:spacing w:after="120" w:line="259" w:lineRule="auto"/>
        <w:jc w:val="both"/>
        <w:rPr>
          <w:rFonts w:ascii="Bookman Old Style" w:hAnsi="Bookman Old Style" w:cs="Trebuchet MS"/>
          <w:sz w:val="22"/>
          <w:szCs w:val="22"/>
        </w:rPr>
      </w:pPr>
      <w:r>
        <w:rPr>
          <w:rFonts w:ascii="Bookman Old Style" w:hAnsi="Bookman Old Style" w:cs="Trebuchet MS"/>
          <w:sz w:val="22"/>
          <w:szCs w:val="22"/>
        </w:rPr>
        <w:t xml:space="preserve">Infine, il </w:t>
      </w:r>
      <w:r w:rsidRPr="00342C21">
        <w:rPr>
          <w:rFonts w:ascii="Bookman Old Style" w:hAnsi="Bookman Old Style" w:cs="Trebuchet MS"/>
          <w:sz w:val="22"/>
          <w:szCs w:val="22"/>
        </w:rPr>
        <w:t>Documento di economia e finanza 2017</w:t>
      </w:r>
      <w:r>
        <w:rPr>
          <w:rFonts w:ascii="Bookman Old Style" w:hAnsi="Bookman Old Style" w:cs="Trebuchet MS"/>
          <w:sz w:val="22"/>
          <w:szCs w:val="22"/>
        </w:rPr>
        <w:t xml:space="preserve"> richiama brevemente ulteriori misure </w:t>
      </w:r>
      <w:r w:rsidRPr="009337B4">
        <w:rPr>
          <w:rFonts w:ascii="Bookman Old Style" w:hAnsi="Bookman Old Style" w:cs="Trebuchet MS"/>
          <w:sz w:val="22"/>
          <w:szCs w:val="22"/>
        </w:rPr>
        <w:t xml:space="preserve">che incidono su povertà e </w:t>
      </w:r>
      <w:r w:rsidRPr="009337B4">
        <w:rPr>
          <w:rFonts w:ascii="Bookman Old Style" w:hAnsi="Bookman Old Style" w:cs="Trebuchet MS"/>
          <w:iCs/>
          <w:sz w:val="22"/>
          <w:szCs w:val="22"/>
        </w:rPr>
        <w:t xml:space="preserve">welfare </w:t>
      </w:r>
      <w:r w:rsidRPr="009337B4">
        <w:rPr>
          <w:rFonts w:ascii="Bookman Old Style" w:hAnsi="Bookman Old Style" w:cs="Trebuchet MS"/>
          <w:sz w:val="22"/>
          <w:szCs w:val="22"/>
        </w:rPr>
        <w:t>contenute nella Legge di Bilancio per il 2017</w:t>
      </w:r>
      <w:r>
        <w:rPr>
          <w:rFonts w:ascii="Bookman Old Style" w:hAnsi="Bookman Old Style" w:cs="Trebuchet MS"/>
          <w:sz w:val="22"/>
          <w:szCs w:val="22"/>
        </w:rPr>
        <w:t xml:space="preserve">: </w:t>
      </w:r>
      <w:r w:rsidRPr="00C81672">
        <w:rPr>
          <w:rFonts w:ascii="Bookman Old Style" w:hAnsi="Bookman Old Style" w:cs="Trebuchet MS"/>
          <w:sz w:val="22"/>
          <w:szCs w:val="22"/>
        </w:rPr>
        <w:t xml:space="preserve">dall’ulteriore </w:t>
      </w:r>
      <w:r>
        <w:rPr>
          <w:rFonts w:ascii="Bookman Old Style" w:hAnsi="Bookman Old Style" w:cs="Trebuchet MS"/>
          <w:sz w:val="22"/>
          <w:szCs w:val="22"/>
        </w:rPr>
        <w:t xml:space="preserve">stanziamento di </w:t>
      </w:r>
      <w:r w:rsidRPr="009337B4">
        <w:rPr>
          <w:rFonts w:ascii="Bookman Old Style" w:hAnsi="Bookman Old Style" w:cs="Trebuchet MS"/>
          <w:sz w:val="22"/>
          <w:szCs w:val="22"/>
        </w:rPr>
        <w:t xml:space="preserve">50 milioni </w:t>
      </w:r>
      <w:r>
        <w:rPr>
          <w:rFonts w:ascii="Bookman Old Style" w:hAnsi="Bookman Old Style" w:cs="Trebuchet MS"/>
          <w:sz w:val="22"/>
          <w:szCs w:val="22"/>
        </w:rPr>
        <w:t>a favore del</w:t>
      </w:r>
      <w:r w:rsidRPr="009337B4">
        <w:rPr>
          <w:rFonts w:ascii="Bookman Old Style" w:hAnsi="Bookman Old Style" w:cs="Trebuchet MS"/>
          <w:sz w:val="22"/>
          <w:szCs w:val="22"/>
        </w:rPr>
        <w:t xml:space="preserve"> il Fondo dedicato alla non autosufficienza, che dal 2016 era stato dotato strutturalmente di 400 milioni, </w:t>
      </w:r>
      <w:r>
        <w:rPr>
          <w:rFonts w:ascii="Bookman Old Style" w:hAnsi="Bookman Old Style" w:cs="Trebuchet MS"/>
          <w:sz w:val="22"/>
          <w:szCs w:val="22"/>
        </w:rPr>
        <w:t>ai</w:t>
      </w:r>
      <w:r w:rsidRPr="009337B4">
        <w:rPr>
          <w:rFonts w:ascii="Bookman Old Style" w:hAnsi="Bookman Old Style" w:cs="Trebuchet MS"/>
          <w:sz w:val="22"/>
          <w:szCs w:val="22"/>
        </w:rPr>
        <w:t xml:space="preserve"> 600 milioni per le politiche per la famiglia.</w:t>
      </w:r>
    </w:p>
    <w:p w:rsidR="002F6518" w:rsidRDefault="002F6518" w:rsidP="00666126">
      <w:pPr>
        <w:pStyle w:val="Corpodeltesto"/>
        <w:spacing w:line="259" w:lineRule="auto"/>
        <w:rPr>
          <w:lang w:eastAsia="ar-SA"/>
        </w:rPr>
      </w:pPr>
    </w:p>
    <w:p w:rsidR="002F6518" w:rsidRDefault="003005E2" w:rsidP="002F6518">
      <w:pPr>
        <w:pStyle w:val="Titolo1"/>
      </w:pPr>
      <w:bookmarkStart w:id="18" w:name="_Toc480278706"/>
      <w:bookmarkStart w:id="19" w:name="_Toc480289426"/>
      <w:r>
        <w:t xml:space="preserve">Sviluppo sostenibile, </w:t>
      </w:r>
      <w:r w:rsidR="002F6518">
        <w:t xml:space="preserve">energia, </w:t>
      </w:r>
      <w:bookmarkEnd w:id="18"/>
      <w:proofErr w:type="spellStart"/>
      <w:r>
        <w:t>tpl</w:t>
      </w:r>
      <w:proofErr w:type="spellEnd"/>
      <w:r>
        <w:t xml:space="preserve"> e </w:t>
      </w:r>
      <w:r w:rsidR="005D251F">
        <w:t>infrastrutture</w:t>
      </w:r>
      <w:bookmarkEnd w:id="19"/>
    </w:p>
    <w:p w:rsidR="002F6518" w:rsidRPr="00FA3C46" w:rsidRDefault="002F6518" w:rsidP="002F6518">
      <w:pPr>
        <w:jc w:val="both"/>
        <w:rPr>
          <w:rFonts w:ascii="Bookman Old Style" w:hAnsi="Bookman Old Style"/>
        </w:rPr>
      </w:pPr>
      <w:r w:rsidRPr="00FA3C46">
        <w:rPr>
          <w:rFonts w:ascii="Bookman Old Style" w:hAnsi="Bookman Old Style"/>
          <w:b/>
        </w:rPr>
        <w:t>Sostenibilità</w:t>
      </w:r>
      <w:r>
        <w:rPr>
          <w:rFonts w:ascii="Bookman Old Style" w:hAnsi="Bookman Old Style"/>
        </w:rPr>
        <w:t xml:space="preserve">. </w:t>
      </w:r>
      <w:r w:rsidRPr="00FA3C46">
        <w:rPr>
          <w:rFonts w:ascii="Bookman Old Style" w:hAnsi="Bookman Old Style"/>
        </w:rPr>
        <w:t xml:space="preserve">Il Documento Economico Finanziario 2017 mette l’accento per la prima volta su alcuni temi cardine delle politiche europee (Strategia 2020) collegandoli alla definizione della batteria di indicatori che caratterizzano il livello di sviluppo e benessere del nostro Paese. Si parla per la prima volta di “benessere equo e sostenibile” inteso come una serie di parametri oramai largamente utilizzati a livello internazionale per tracciare meglio uno scenario sempre più lontano dal paradigma lineare della teoria economica liberista e sempre più permeata dal paradigma circolare che presuppone una scarsità delle risorse, da elementi solidaristici, qualitativi e sostenibili anche in termini ambientali a lungo termine. Quest’ultimo punto prende infatti in considerazione, con attenzione alle </w:t>
      </w:r>
      <w:r>
        <w:rPr>
          <w:rFonts w:ascii="Bookman Old Style" w:hAnsi="Bookman Old Style"/>
        </w:rPr>
        <w:t xml:space="preserve">generazioni future, ad esempio </w:t>
      </w:r>
      <w:r w:rsidRPr="00FA3C46">
        <w:rPr>
          <w:rFonts w:ascii="Bookman Old Style" w:hAnsi="Bookman Old Style"/>
        </w:rPr>
        <w:t xml:space="preserve">l’indicatore relativo alle emissioni di CO2 e di altri gas clima alteranti, e per le stesse variabili il DEF fissa gli obiettivi programmatici, ribadendo le politiche/azioni messe in campo finora dal Governo per migliorarne le performance (Ecobonus, FER, efficienza energetica, ecc.). </w:t>
      </w:r>
    </w:p>
    <w:p w:rsidR="002F6518" w:rsidRPr="00FA3C46" w:rsidRDefault="002F6518" w:rsidP="002F6518">
      <w:pPr>
        <w:jc w:val="both"/>
        <w:rPr>
          <w:rFonts w:ascii="Bookman Old Style" w:hAnsi="Bookman Old Style"/>
        </w:rPr>
      </w:pPr>
      <w:r w:rsidRPr="00FA3C46">
        <w:rPr>
          <w:rFonts w:ascii="Bookman Old Style" w:hAnsi="Bookman Old Style"/>
          <w:b/>
        </w:rPr>
        <w:t>Energia</w:t>
      </w:r>
      <w:r>
        <w:rPr>
          <w:rFonts w:ascii="Bookman Old Style" w:hAnsi="Bookman Old Style"/>
          <w:b/>
        </w:rPr>
        <w:t>.</w:t>
      </w:r>
      <w:r w:rsidRPr="00FA3C46">
        <w:rPr>
          <w:rFonts w:ascii="Bookman Old Style" w:hAnsi="Bookman Old Style"/>
        </w:rPr>
        <w:t xml:space="preserve"> Nella sezione dedicata al Programma nazionale di riforma, </w:t>
      </w:r>
      <w:r w:rsidRPr="00FA3C46">
        <w:rPr>
          <w:rFonts w:ascii="Bookman Old Style" w:hAnsi="Bookman Old Style"/>
          <w:i/>
        </w:rPr>
        <w:t>tra gli obiettivi prioritari rispetto l’ambito di policy “Competitività” viene fissata entro il 2017 la revisione della Strategia Energetica Nazionale e l’approvazione del Decreto Energia.</w:t>
      </w:r>
      <w:r w:rsidRPr="00FA3C46">
        <w:rPr>
          <w:rFonts w:ascii="Bookman Old Style" w:hAnsi="Bookman Old Style"/>
        </w:rPr>
        <w:t xml:space="preserve"> A tal fine, ANCI auspica che le misure proposte, da quelle inerenti gli edifici a quelle sull’infrastruttura a combustibili alternativi, vengano rafforzate e accompagnate, anche in vista della revisione della Strategia Energetica Nazionale, da un maggiore ascolto delle istanze e dei fabbisogni espressi dai Comuni, da confronto tecnico e collaborazione istituzionale nell’interesse delle amministrazioni locali, da una maggiore omogeneità nella </w:t>
      </w:r>
      <w:r w:rsidRPr="002F6518">
        <w:rPr>
          <w:rFonts w:ascii="Bookman Old Style" w:hAnsi="Bookman Old Style"/>
          <w:i/>
        </w:rPr>
        <w:t>governance</w:t>
      </w:r>
      <w:r w:rsidRPr="00FA3C46">
        <w:rPr>
          <w:rFonts w:ascii="Bookman Old Style" w:hAnsi="Bookman Old Style"/>
        </w:rPr>
        <w:t>, e da una più marcata innovazione, integrazione e sinergia delle azioni proposte, a cominciare da significative riforme normative (vedi il superamento del modello attuale di generazione/distribuzione energetica).</w:t>
      </w:r>
    </w:p>
    <w:p w:rsidR="002F6518" w:rsidRPr="00FA3C46" w:rsidRDefault="002F6518" w:rsidP="002F6518">
      <w:pPr>
        <w:jc w:val="both"/>
        <w:rPr>
          <w:rFonts w:ascii="Bookman Old Style" w:hAnsi="Bookman Old Style"/>
        </w:rPr>
      </w:pPr>
      <w:r w:rsidRPr="00FA3C46">
        <w:rPr>
          <w:rFonts w:ascii="Bookman Old Style" w:hAnsi="Bookman Old Style"/>
          <w:b/>
        </w:rPr>
        <w:t>TPL</w:t>
      </w:r>
      <w:r>
        <w:rPr>
          <w:rFonts w:ascii="Bookman Old Style" w:hAnsi="Bookman Old Style"/>
          <w:b/>
        </w:rPr>
        <w:t>.</w:t>
      </w:r>
      <w:r w:rsidRPr="00FA3C46">
        <w:rPr>
          <w:rFonts w:ascii="Bookman Old Style" w:hAnsi="Bookman Old Style"/>
        </w:rPr>
        <w:t xml:space="preserve"> Entro il 2017 è previsto inoltre il completamento della riforma dei servizi pubblici locali, tra cui della disciplina del trasporto pubblico locale. </w:t>
      </w:r>
      <w:r w:rsidRPr="002F6518">
        <w:rPr>
          <w:rFonts w:ascii="Bookman Old Style" w:hAnsi="Bookman Old Style"/>
        </w:rPr>
        <w:t xml:space="preserve">Tra le azioni già intraprese rientrano inoltre quelle volte a </w:t>
      </w:r>
      <w:r w:rsidRPr="002F6518">
        <w:rPr>
          <w:rFonts w:ascii="Bookman Old Style" w:hAnsi="Bookman Old Style"/>
          <w:bCs/>
        </w:rPr>
        <w:t xml:space="preserve">incentivare lo sviluppo del trasporto pubblico locale </w:t>
      </w:r>
      <w:r w:rsidRPr="002F6518">
        <w:rPr>
          <w:rFonts w:ascii="Bookman Old Style" w:hAnsi="Bookman Old Style"/>
        </w:rPr>
        <w:t xml:space="preserve">e lo stanziamento di fondi per il completamento di tram, linee metropolitane e stazioni oltre </w:t>
      </w:r>
      <w:r w:rsidRPr="002F6518">
        <w:rPr>
          <w:rFonts w:ascii="Bookman Old Style" w:hAnsi="Bookman Old Style"/>
        </w:rPr>
        <w:lastRenderedPageBreak/>
        <w:t xml:space="preserve">agli investimenti per il rinnovo del parco mezzi. Tra le iniziative in fase di sviluppo rientra infine, la trasformazione digitale delle infrastrutture di trasporto attraverso le </w:t>
      </w:r>
      <w:r w:rsidRPr="002F6518">
        <w:rPr>
          <w:rFonts w:ascii="Bookman Old Style" w:hAnsi="Bookman Old Style"/>
          <w:iCs/>
        </w:rPr>
        <w:t xml:space="preserve">Smart Road </w:t>
      </w:r>
      <w:r w:rsidRPr="002F6518">
        <w:rPr>
          <w:rFonts w:ascii="Bookman Old Style" w:hAnsi="Bookman Old Style"/>
        </w:rPr>
        <w:t>definite come l’insieme di infrastrutture stradali che punta ai due obiettivi fondamentali di sostenibilità e miglioramento della qualità della vita. La procedura Consip per l’acquisto centralizzato di 1.600 nuovi autobus a livello nazionale è in via di definizione e riguarderà nove lotti del valore di 255 milioni. Tali risorse si sommano a quelle già stanziate dalla Legge di Bilancio per il 2017 per il Piano strategico nazionale della mobilità sostenibile destinato al rinnovo del parco autobus dei servizi di trasporto pubblico locale e regionale, alla promozione e al miglioramento della qualità dell’aria con tecnologie innovative. Infatti è stato istituito presso il MIT un Fondo per acquisto o noleggio di mezzi adibiti al TPL compreso il trasporto regionale destinato anche alla riqualificazione elettrica dei mezzi (210 Ml per 2019 e 2020, 130 Ml per 2021, 90 Ml per 2022. La L</w:t>
      </w:r>
      <w:r w:rsidR="005D251F">
        <w:rPr>
          <w:rFonts w:ascii="Bookman Old Style" w:hAnsi="Bookman Old Style"/>
        </w:rPr>
        <w:t xml:space="preserve">egge di bilancio </w:t>
      </w:r>
      <w:r w:rsidRPr="002F6518">
        <w:rPr>
          <w:rFonts w:ascii="Bookman Old Style" w:hAnsi="Bookman Old Style"/>
        </w:rPr>
        <w:t>prevede, inoltre, per ciascuno degli anni 2018 e 2019, interventi</w:t>
      </w:r>
      <w:r w:rsidR="005D251F">
        <w:rPr>
          <w:rFonts w:ascii="Bookman Old Style" w:hAnsi="Bookman Old Style"/>
        </w:rPr>
        <w:t xml:space="preserve"> </w:t>
      </w:r>
      <w:r w:rsidRPr="002F6518">
        <w:rPr>
          <w:rFonts w:ascii="Bookman Old Style" w:hAnsi="Bookman Old Style"/>
        </w:rPr>
        <w:t xml:space="preserve">a favore di investimenti produttivi, in particolare per modalità di alimentazione alternativa. Con tali risorse il MISE, </w:t>
      </w:r>
      <w:r w:rsidRPr="002F6518">
        <w:rPr>
          <w:rFonts w:ascii="Bookman Old Style" w:hAnsi="Bookman Old Style" w:cs="Calibri"/>
        </w:rPr>
        <w:t>d’intesa con il MIT</w:t>
      </w:r>
      <w:r w:rsidRPr="002F6518">
        <w:rPr>
          <w:rFonts w:ascii="Bookman Old Style" w:hAnsi="Bookman Old Style"/>
        </w:rPr>
        <w:t>, può stipulare convenzioni con INVITALIA e con i dipartimenti universitari specializzati nella mobilità sostenibile. Stanziati 2 milioni nel 2017, 50 milioni nel 2018 e 250 milioni a decorrere fino al 2033.</w:t>
      </w:r>
    </w:p>
    <w:p w:rsidR="002F6518" w:rsidRPr="00FA3C46" w:rsidRDefault="002F6518" w:rsidP="002F6518">
      <w:pPr>
        <w:jc w:val="both"/>
        <w:rPr>
          <w:rFonts w:ascii="Bookman Old Style" w:hAnsi="Bookman Old Style"/>
        </w:rPr>
      </w:pPr>
      <w:r w:rsidRPr="00FA3C46">
        <w:rPr>
          <w:rFonts w:ascii="Bookman Old Style" w:hAnsi="Bookman Old Style"/>
        </w:rPr>
        <w:t xml:space="preserve">ANCI concorda con la necessità di diversificazione delle azioni verso il trasporto pubblico locale in termini di maggiore efficienza e sostenibilità ambientale dei mezzi e quindi del servizio, </w:t>
      </w:r>
      <w:r>
        <w:rPr>
          <w:rFonts w:ascii="Bookman Old Style" w:hAnsi="Bookman Old Style"/>
        </w:rPr>
        <w:t xml:space="preserve">ma </w:t>
      </w:r>
      <w:r w:rsidRPr="00FA3C46">
        <w:rPr>
          <w:rFonts w:ascii="Bookman Old Style" w:hAnsi="Bookman Old Style"/>
        </w:rPr>
        <w:t xml:space="preserve">ribadisce la necessità di non limitare la finalizzazione delle risorse, almeno nel medio periodo, alla trazione elettrica ma di estendere al paniere più ampio di combustibili alternativi in linea con la direttiva europea DAFI, con le potenzialità e le diverse dotazioni di risorse nel nostro Paese, con l’esigenza di tutelare intere filiere produttive e di stimolare il consolidamento e la nascita di nuove, come ribadito dal Pacchetto europeo Clean Energy Package (sostenendo filiere locali in ottica di recupero risorse come quelle agricole o di manutenzione del verde urbano - ad esempio biometano). </w:t>
      </w:r>
    </w:p>
    <w:p w:rsidR="002F6518" w:rsidRDefault="002F6518" w:rsidP="002F6518">
      <w:pPr>
        <w:jc w:val="both"/>
        <w:rPr>
          <w:rFonts w:ascii="Bookman Old Style" w:hAnsi="Bookman Old Style"/>
        </w:rPr>
      </w:pPr>
      <w:r w:rsidRPr="00FA3C46">
        <w:rPr>
          <w:rFonts w:ascii="Bookman Old Style" w:hAnsi="Bookman Old Style"/>
        </w:rPr>
        <w:t>D’altro canto, se si apprezza il consolidamento del fondo TPL, finora vincolato all’entrata dell’accisa e influenzato dalle previsioni di consumo di carburante, l’ANCI rileva la necessità che sia data attuazione alla legge “Delrio” n. 56 art. 44, ovvero che i fondi per il TPL destinati alle città metropolitane siano a queste ultime assegnate direttamente.  Infine, propone al Governo che l’utilizzo del Fondo in ciascun territorio regionale passi attraverso una condivisione della programmazione regionale</w:t>
      </w:r>
      <w:r w:rsidR="005D251F">
        <w:rPr>
          <w:rFonts w:ascii="Bookman Old Style" w:hAnsi="Bookman Old Style"/>
        </w:rPr>
        <w:t xml:space="preserve"> sul trasporto pubblico affinché</w:t>
      </w:r>
      <w:r w:rsidRPr="00FA3C46">
        <w:rPr>
          <w:rFonts w:ascii="Bookman Old Style" w:hAnsi="Bookman Old Style"/>
        </w:rPr>
        <w:t xml:space="preserve"> sia in linea con i fabbisogni dei Comuni, mediante appositi accordi Regione-Comuni, e che una quota percentuale delle risorse sia destinato altrettanto stabilmente alla mobilità urbana. </w:t>
      </w:r>
    </w:p>
    <w:p w:rsidR="005D251F" w:rsidRPr="005D251F" w:rsidRDefault="005D251F" w:rsidP="005D251F">
      <w:pPr>
        <w:spacing w:after="120" w:line="259" w:lineRule="auto"/>
        <w:jc w:val="both"/>
        <w:rPr>
          <w:rFonts w:ascii="Bookman Old Style" w:hAnsi="Bookman Old Style"/>
        </w:rPr>
      </w:pPr>
      <w:r w:rsidRPr="005D251F">
        <w:rPr>
          <w:rFonts w:ascii="Bookman Old Style" w:hAnsi="Bookman Old Style"/>
          <w:b/>
        </w:rPr>
        <w:t>Porti.</w:t>
      </w:r>
      <w:r w:rsidRPr="005D251F">
        <w:rPr>
          <w:rFonts w:ascii="Bookman Old Style" w:hAnsi="Bookman Old Style"/>
        </w:rPr>
        <w:t xml:space="preserve"> Si apprezzano gli interventi normativi adottati e volti a </w:t>
      </w:r>
      <w:r w:rsidRPr="005D251F">
        <w:rPr>
          <w:rFonts w:ascii="Bookman Old Style" w:hAnsi="Bookman Old Style"/>
          <w:b/>
        </w:rPr>
        <w:t>snellire le procedure</w:t>
      </w:r>
      <w:r w:rsidRPr="005D251F">
        <w:rPr>
          <w:rFonts w:ascii="Bookman Old Style" w:hAnsi="Bookman Old Style"/>
        </w:rPr>
        <w:t xml:space="preserve"> amministrative e burocratiche all’interno del sistema portuale, ritenute </w:t>
      </w:r>
      <w:r w:rsidRPr="005D251F">
        <w:rPr>
          <w:rFonts w:ascii="Bookman Old Style" w:hAnsi="Bookman Old Style"/>
          <w:b/>
        </w:rPr>
        <w:t>fra le concause della perdita di competitività della portualità italiana</w:t>
      </w:r>
      <w:r w:rsidRPr="005D251F">
        <w:rPr>
          <w:rFonts w:ascii="Bookman Old Style" w:hAnsi="Bookman Old Style"/>
        </w:rPr>
        <w:t xml:space="preserve">. </w:t>
      </w:r>
    </w:p>
    <w:p w:rsidR="005D251F" w:rsidRPr="005D251F" w:rsidRDefault="005D251F" w:rsidP="005D251F">
      <w:pPr>
        <w:spacing w:after="120" w:line="259" w:lineRule="auto"/>
        <w:jc w:val="both"/>
        <w:rPr>
          <w:rFonts w:ascii="Bookman Old Style" w:hAnsi="Bookman Old Style"/>
        </w:rPr>
      </w:pPr>
      <w:r w:rsidRPr="005D251F">
        <w:rPr>
          <w:rFonts w:ascii="Bookman Old Style" w:hAnsi="Bookman Old Style"/>
        </w:rPr>
        <w:lastRenderedPageBreak/>
        <w:t xml:space="preserve">Nella </w:t>
      </w:r>
      <w:r w:rsidRPr="005D251F">
        <w:rPr>
          <w:rFonts w:ascii="Bookman Old Style" w:hAnsi="Bookman Old Style"/>
          <w:i/>
        </w:rPr>
        <w:t>governance</w:t>
      </w:r>
      <w:r w:rsidRPr="005D251F">
        <w:rPr>
          <w:rFonts w:ascii="Bookman Old Style" w:hAnsi="Bookman Old Style"/>
        </w:rPr>
        <w:t xml:space="preserve"> delle nuove Autorità portuali sarà comunque </w:t>
      </w:r>
      <w:r w:rsidRPr="005D251F">
        <w:rPr>
          <w:rFonts w:ascii="Bookman Old Style" w:hAnsi="Bookman Old Style"/>
          <w:b/>
        </w:rPr>
        <w:t>complesso entrare nel merito della localizzazione della AdSP</w:t>
      </w:r>
      <w:r w:rsidR="003C2A23">
        <w:rPr>
          <w:rFonts w:ascii="Bookman Old Style" w:hAnsi="Bookman Old Style"/>
          <w:b/>
        </w:rPr>
        <w:t xml:space="preserve"> </w:t>
      </w:r>
      <w:r w:rsidR="003C2A23" w:rsidRPr="005D251F">
        <w:rPr>
          <w:rFonts w:ascii="Bookman Old Style" w:hAnsi="Bookman Old Style"/>
        </w:rPr>
        <w:t>(Autorità Portual</w:t>
      </w:r>
      <w:r w:rsidR="003C2A23">
        <w:rPr>
          <w:rFonts w:ascii="Bookman Old Style" w:hAnsi="Bookman Old Style"/>
        </w:rPr>
        <w:t>e</w:t>
      </w:r>
      <w:r w:rsidR="003C2A23" w:rsidRPr="005D251F">
        <w:rPr>
          <w:rFonts w:ascii="Bookman Old Style" w:hAnsi="Bookman Old Style"/>
        </w:rPr>
        <w:t>)</w:t>
      </w:r>
      <w:r w:rsidRPr="005D251F">
        <w:rPr>
          <w:rFonts w:ascii="Bookman Old Style" w:hAnsi="Bookman Old Style"/>
        </w:rPr>
        <w:t>, che ha evidentemente inciso in maniera diversa rispetto alle reazioni dal territorio, connesse alla soppressione dell’autorità o all’istituzione di una nuova con più esteso raggio di azione. Necessario però prevedere all’art. 8, comma 1 che, ai fini della nomina del Presidente dell’AdSP si raggiunga l’intesa, oltre che con il Presidente della regione o regioni interessate, anche con il Sindaco del Comune sede dell’AdSP, in relazione al</w:t>
      </w:r>
      <w:r>
        <w:rPr>
          <w:rFonts w:ascii="Bookman Old Style" w:hAnsi="Bookman Old Style"/>
        </w:rPr>
        <w:t xml:space="preserve">la pari dignità costituzionale </w:t>
      </w:r>
      <w:r w:rsidRPr="005D251F">
        <w:rPr>
          <w:rFonts w:ascii="Bookman Old Style" w:hAnsi="Bookman Old Style"/>
        </w:rPr>
        <w:t xml:space="preserve">fra gli enti di cui sono rappresentanti di vertice. </w:t>
      </w:r>
    </w:p>
    <w:p w:rsidR="005D251F" w:rsidRPr="005D251F" w:rsidRDefault="005D251F" w:rsidP="005D251F">
      <w:pPr>
        <w:spacing w:after="120" w:line="259" w:lineRule="auto"/>
        <w:jc w:val="both"/>
        <w:rPr>
          <w:rFonts w:ascii="Bookman Old Style" w:hAnsi="Bookman Old Style"/>
        </w:rPr>
      </w:pPr>
      <w:r w:rsidRPr="005D251F">
        <w:rPr>
          <w:rFonts w:ascii="Bookman Old Style" w:hAnsi="Bookman Old Style"/>
        </w:rPr>
        <w:t xml:space="preserve">Positiva la previsione di assicurare la presenza dei </w:t>
      </w:r>
      <w:r w:rsidRPr="005D251F">
        <w:rPr>
          <w:rFonts w:ascii="Bookman Old Style" w:hAnsi="Bookman Old Style"/>
          <w:b/>
        </w:rPr>
        <w:t xml:space="preserve">Comuni </w:t>
      </w:r>
      <w:r w:rsidRPr="005D251F">
        <w:rPr>
          <w:rFonts w:ascii="Bookman Old Style" w:hAnsi="Bookman Old Style"/>
        </w:rPr>
        <w:t>nella</w:t>
      </w:r>
      <w:r w:rsidRPr="005D251F">
        <w:rPr>
          <w:rFonts w:ascii="Bookman Old Style" w:hAnsi="Bookman Old Style"/>
          <w:b/>
        </w:rPr>
        <w:t xml:space="preserve"> </w:t>
      </w:r>
      <w:r w:rsidRPr="005D251F">
        <w:rPr>
          <w:rFonts w:ascii="Bookman Old Style" w:hAnsi="Bookman Old Style"/>
          <w:i/>
        </w:rPr>
        <w:t>governance</w:t>
      </w:r>
      <w:r w:rsidRPr="005D251F">
        <w:rPr>
          <w:rFonts w:ascii="Bookman Old Style" w:hAnsi="Bookman Old Style"/>
        </w:rPr>
        <w:t xml:space="preserve"> delle Autorità cui è affidata l’adozione del piano regolatore di sistema portuale, l’approvazione del piano operativo triennale, concernente le strategie di sviluppo delle attività portuali e logistiche, oltre all’approvazione del bilancio. </w:t>
      </w:r>
    </w:p>
    <w:p w:rsidR="005D251F" w:rsidRPr="005D251F" w:rsidRDefault="005D251F" w:rsidP="005D251F">
      <w:pPr>
        <w:spacing w:after="120" w:line="259" w:lineRule="auto"/>
        <w:jc w:val="both"/>
        <w:rPr>
          <w:rFonts w:ascii="Bookman Old Style" w:hAnsi="Bookman Old Style"/>
        </w:rPr>
      </w:pPr>
      <w:r w:rsidRPr="005D251F">
        <w:rPr>
          <w:rFonts w:ascii="Bookman Old Style" w:hAnsi="Bookman Old Style"/>
        </w:rPr>
        <w:t xml:space="preserve">Si sottolinea però come sia ancora </w:t>
      </w:r>
      <w:r w:rsidRPr="005D251F">
        <w:rPr>
          <w:rFonts w:ascii="Bookman Old Style" w:hAnsi="Bookman Old Style"/>
          <w:b/>
        </w:rPr>
        <w:t>debole il riferimento alla retro portualità</w:t>
      </w:r>
      <w:r w:rsidRPr="005D251F">
        <w:rPr>
          <w:rFonts w:ascii="Bookman Old Style" w:hAnsi="Bookman Old Style"/>
        </w:rPr>
        <w:t xml:space="preserve">, in questo ambito sarebbe probabilmente opportuno </w:t>
      </w:r>
      <w:r w:rsidRPr="005D251F">
        <w:rPr>
          <w:rFonts w:ascii="Bookman Old Style" w:hAnsi="Bookman Old Style"/>
          <w:i/>
        </w:rPr>
        <w:t>specificare che l’AdSP possa anche su iniziativa dei singoli enti assumere potere di iniziativa</w:t>
      </w:r>
      <w:r w:rsidRPr="005D251F">
        <w:rPr>
          <w:rFonts w:ascii="Bookman Old Style" w:hAnsi="Bookman Old Style"/>
        </w:rPr>
        <w:t xml:space="preserve"> per rafforzare il legame con il </w:t>
      </w:r>
      <w:r w:rsidRPr="005D251F">
        <w:rPr>
          <w:rFonts w:ascii="Bookman Old Style" w:hAnsi="Bookman Old Style"/>
          <w:b/>
        </w:rPr>
        <w:t>retro porto e lo sviluppo dei sistemi logistici</w:t>
      </w:r>
      <w:r w:rsidRPr="005D251F">
        <w:rPr>
          <w:rFonts w:ascii="Bookman Old Style" w:hAnsi="Bookman Old Style"/>
        </w:rPr>
        <w:t xml:space="preserve">. </w:t>
      </w:r>
    </w:p>
    <w:p w:rsidR="005D251F" w:rsidRPr="005D251F" w:rsidRDefault="005D251F" w:rsidP="005D251F">
      <w:pPr>
        <w:spacing w:after="120" w:line="259" w:lineRule="auto"/>
        <w:jc w:val="both"/>
        <w:rPr>
          <w:rFonts w:ascii="Bookman Old Style" w:hAnsi="Bookman Old Style"/>
        </w:rPr>
      </w:pPr>
      <w:r w:rsidRPr="005D251F">
        <w:rPr>
          <w:rFonts w:ascii="Bookman Old Style" w:hAnsi="Bookman Old Style"/>
        </w:rPr>
        <w:t xml:space="preserve">In tal senso si </w:t>
      </w:r>
      <w:r>
        <w:rPr>
          <w:rFonts w:ascii="Bookman Old Style" w:hAnsi="Bookman Old Style"/>
        </w:rPr>
        <w:t>suggerisce d</w:t>
      </w:r>
      <w:r w:rsidRPr="005D251F">
        <w:rPr>
          <w:rFonts w:ascii="Bookman Old Style" w:hAnsi="Bookman Old Style"/>
        </w:rPr>
        <w:t xml:space="preserve">i inserire rappresentanti designati dalla Conferenza Unificata, quali componenti del Tavolo nazionale di coordinamento delle AdSP, che ha anche fra i suoi compiti quello di coordinare e armonizzare a livello nazionale la </w:t>
      </w:r>
      <w:r w:rsidRPr="005D251F">
        <w:rPr>
          <w:rFonts w:ascii="Bookman Old Style" w:hAnsi="Bookman Old Style"/>
          <w:b/>
        </w:rPr>
        <w:t>pianificazione urbanistica portuale</w:t>
      </w:r>
      <w:r w:rsidRPr="005D251F">
        <w:rPr>
          <w:rFonts w:ascii="Bookman Old Style" w:hAnsi="Bookman Old Style"/>
        </w:rPr>
        <w:t xml:space="preserve">, con lo scopo di dare maggior rilievo alle tematiche legate al retro porto, oltre che per assicurare coordinamento territoriale. </w:t>
      </w:r>
    </w:p>
    <w:p w:rsidR="005D251F" w:rsidRPr="00FA3C46" w:rsidRDefault="005D251F" w:rsidP="002F6518">
      <w:pPr>
        <w:jc w:val="both"/>
        <w:rPr>
          <w:rFonts w:ascii="Bookman Old Style" w:hAnsi="Bookman Old Style"/>
        </w:rPr>
      </w:pPr>
    </w:p>
    <w:p w:rsidR="002F6518" w:rsidRDefault="003C2A23" w:rsidP="00666126">
      <w:pPr>
        <w:pStyle w:val="Titolo1"/>
      </w:pPr>
      <w:bookmarkStart w:id="20" w:name="_Toc480289427"/>
      <w:r>
        <w:t>Sicurezza</w:t>
      </w:r>
      <w:bookmarkEnd w:id="20"/>
    </w:p>
    <w:p w:rsidR="005D251F" w:rsidRPr="00666126" w:rsidRDefault="005D251F" w:rsidP="00666126">
      <w:pPr>
        <w:spacing w:after="120" w:line="259" w:lineRule="auto"/>
        <w:jc w:val="both"/>
        <w:rPr>
          <w:rFonts w:ascii="Bookman Old Style" w:hAnsi="Bookman Old Style"/>
        </w:rPr>
      </w:pPr>
      <w:r w:rsidRPr="00666126">
        <w:rPr>
          <w:rFonts w:ascii="Bookman Old Style" w:hAnsi="Bookman Old Style"/>
          <w:b/>
        </w:rPr>
        <w:t>Sicurezza Urbana</w:t>
      </w:r>
      <w:r w:rsidR="00666126" w:rsidRPr="00666126">
        <w:rPr>
          <w:rFonts w:ascii="Bookman Old Style" w:hAnsi="Bookman Old Style"/>
          <w:b/>
        </w:rPr>
        <w:t xml:space="preserve">. </w:t>
      </w:r>
      <w:r w:rsidRPr="00666126">
        <w:rPr>
          <w:rFonts w:ascii="Bookman Old Style" w:hAnsi="Bookman Old Style"/>
        </w:rPr>
        <w:t xml:space="preserve">In merito al cd. Decreto Sicurezza Urbana, si apprezza il provvedimento che permette di approcciare anche in termini nuovi i fenomeni di disordine urbano e di affrontare in modo integrato le questioni legate alla prevenzione attraverso accorgimenti urbanistici e di intervento diretto sul degrado urbano. Si sottolinea come vanno ancora rafforzate le previsioni circa la violazione del divieto di allontanamento e che si ritiene come non bastino le sole sanzioni pecuniarie. E’ necessario invece rafforzare il deterrente alla violazione del “daspo urbano” prevedendo l’introduzione dell’arresto in flagranza nonché di una apposita sanzione penale. L’attuale previsione circa le attività di allontanamento dei soggetti che adottano reiterate condotte illegali con profili di criticità per la sicurezza prevede infatti solo una sanzione pecuniaria e rischia di compromettere l’intera bontà dell’introduzione del nuovo strumento utile. </w:t>
      </w:r>
    </w:p>
    <w:p w:rsidR="005D251F" w:rsidRPr="00666126" w:rsidRDefault="00666126" w:rsidP="00666126">
      <w:pPr>
        <w:spacing w:after="120" w:line="259" w:lineRule="auto"/>
        <w:jc w:val="both"/>
        <w:rPr>
          <w:rFonts w:ascii="Bookman Old Style" w:hAnsi="Bookman Old Style"/>
        </w:rPr>
      </w:pPr>
      <w:r w:rsidRPr="00666126">
        <w:rPr>
          <w:rFonts w:ascii="Bookman Old Style" w:hAnsi="Bookman Old Style"/>
          <w:b/>
        </w:rPr>
        <w:t xml:space="preserve">Rafforzamento delle banche dati. </w:t>
      </w:r>
      <w:r w:rsidR="005D251F" w:rsidRPr="00666126">
        <w:rPr>
          <w:rFonts w:ascii="Bookman Old Style" w:hAnsi="Bookman Old Style"/>
        </w:rPr>
        <w:t>Si sottolinea inoltre come vanno rafforzate, anche con investimenti specifici, le attuali banche dati in dotazione delle forze dell’ordine e con la possibilità di accesso alle polizie locali, in modo che si evidenzino efficacemente le condotte sanzionate con specifico riferimento a quelle reiterate che portano all’adozione del Divieto di accesso “daspo urbano” altrimenti impossibile da adottare per gli agenti ed ufficiali di polizia giudiziaria.</w:t>
      </w:r>
    </w:p>
    <w:p w:rsidR="005D251F" w:rsidRPr="00666126" w:rsidRDefault="005D251F" w:rsidP="00666126">
      <w:pPr>
        <w:spacing w:after="120" w:line="259" w:lineRule="auto"/>
        <w:jc w:val="both"/>
        <w:rPr>
          <w:rFonts w:ascii="Bookman Old Style" w:hAnsi="Bookman Old Style"/>
        </w:rPr>
      </w:pPr>
      <w:r w:rsidRPr="00666126">
        <w:rPr>
          <w:rFonts w:ascii="Bookman Old Style" w:hAnsi="Bookman Old Style"/>
          <w:b/>
        </w:rPr>
        <w:t>Beni confiscati alla criminalità organizzata</w:t>
      </w:r>
      <w:r w:rsidR="00666126" w:rsidRPr="00666126">
        <w:rPr>
          <w:rFonts w:ascii="Bookman Old Style" w:hAnsi="Bookman Old Style"/>
          <w:b/>
        </w:rPr>
        <w:t xml:space="preserve">. </w:t>
      </w:r>
      <w:r w:rsidRPr="00666126">
        <w:rPr>
          <w:rFonts w:ascii="Bookman Old Style" w:hAnsi="Bookman Old Style"/>
        </w:rPr>
        <w:t xml:space="preserve">Si apprezza il tentativo di adottare una </w:t>
      </w:r>
      <w:r w:rsidRPr="00666126">
        <w:rPr>
          <w:rFonts w:ascii="Bookman Old Style" w:hAnsi="Bookman Old Style"/>
          <w:i/>
        </w:rPr>
        <w:t xml:space="preserve">Strategia nazionale per la valorizzazione dei beni e delle aziende confiscate alla criminalità </w:t>
      </w:r>
      <w:r w:rsidRPr="00666126">
        <w:rPr>
          <w:rFonts w:ascii="Bookman Old Style" w:hAnsi="Bookman Old Style"/>
          <w:i/>
        </w:rPr>
        <w:lastRenderedPageBreak/>
        <w:t>organizzata</w:t>
      </w:r>
      <w:r w:rsidRPr="00666126">
        <w:rPr>
          <w:rFonts w:ascii="Bookman Old Style" w:hAnsi="Bookman Old Style"/>
        </w:rPr>
        <w:t xml:space="preserve">,  contenuto della legge di Bilancio 2017, e dello stanziamento di 5 milioni di euro per il 2017 e 2018 per il sostegno della stessa. In tal senso, si sottolinea come sia utile promuovere in modo più deciso le attività dirette all’utilizzo da parte dei Comuni degli immobili confiscati alla criminalità organizzata, attraverso l’adozione di un programma comunale per la valorizzazione dei beni dal recupero ai fini abitativi da destinare alle categorie più svantaggiate (disponendo anche delle risorse previste dall’art. 11 comma 12 del decreto legge 25 giugno 2008, n. 112 convertito con modifiche dalla legge 6 agosto 2008, n. 133) sino alla realizzazione, insieme con i beneficiari, di misure per il rafforzamento dello sviluppo e della valorizzazione del singolo bene. </w:t>
      </w:r>
    </w:p>
    <w:p w:rsidR="002F6518" w:rsidRPr="00FA3C46" w:rsidRDefault="002F6518" w:rsidP="00666126">
      <w:pPr>
        <w:pStyle w:val="Corpodeltesto"/>
        <w:jc w:val="both"/>
        <w:rPr>
          <w:lang w:eastAsia="ar-SA"/>
        </w:rPr>
      </w:pPr>
    </w:p>
    <w:p w:rsidR="002F6518" w:rsidRDefault="002F6518" w:rsidP="002F6518">
      <w:pPr>
        <w:pStyle w:val="Titolo1"/>
        <w:ind w:left="431" w:hanging="431"/>
      </w:pPr>
      <w:bookmarkStart w:id="21" w:name="_Toc480278707"/>
      <w:bookmarkStart w:id="22" w:name="_Toc480289428"/>
      <w:r>
        <w:t>Coesione, riequilibrio territoriale e Mezzogiorno</w:t>
      </w:r>
      <w:bookmarkEnd w:id="21"/>
      <w:bookmarkEnd w:id="22"/>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Il tema è trattato nella sezione III del DEF, </w:t>
      </w:r>
      <w:r w:rsidRPr="009B052B">
        <w:rPr>
          <w:rFonts w:ascii="Bookman Old Style" w:hAnsi="Bookman Old Style" w:cs="Tahoma"/>
          <w:i/>
        </w:rPr>
        <w:t>Piano nazionale di Riforma</w:t>
      </w:r>
      <w:r w:rsidRPr="009B052B">
        <w:rPr>
          <w:rFonts w:ascii="Bookman Old Style" w:hAnsi="Bookman Old Style" w:cs="Tahoma"/>
        </w:rPr>
        <w:t xml:space="preserve"> e, più compiutamente, nell’allegata </w:t>
      </w:r>
      <w:r w:rsidRPr="009B052B">
        <w:rPr>
          <w:rFonts w:ascii="Bookman Old Style" w:hAnsi="Bookman Old Style" w:cs="Tahoma"/>
          <w:i/>
        </w:rPr>
        <w:t>relazione sugli interventi nelle aree sottoutilizzate</w:t>
      </w:r>
      <w:r w:rsidRPr="009B052B">
        <w:rPr>
          <w:rFonts w:ascii="Bookman Old Style" w:hAnsi="Bookman Old Style" w:cs="Tahoma"/>
        </w:rPr>
        <w:t>, stilata dal Dipartimento per le politiche di coesione e redatta in attuazione dell’art.10</w:t>
      </w:r>
      <w:r>
        <w:rPr>
          <w:rFonts w:ascii="Bookman Old Style" w:hAnsi="Bookman Old Style" w:cs="Tahoma"/>
        </w:rPr>
        <w:t xml:space="preserve"> della </w:t>
      </w:r>
      <w:r w:rsidRPr="009B052B">
        <w:rPr>
          <w:rFonts w:ascii="Bookman Old Style" w:hAnsi="Bookman Old Style" w:cs="Tahoma"/>
        </w:rPr>
        <w:t>Legge 196/2009 e art.7 del D.Lgs.88\2011</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Il primo dato di cui si dà conto nei suddetti documenti è la </w:t>
      </w:r>
      <w:r w:rsidRPr="009B052B">
        <w:rPr>
          <w:rFonts w:ascii="Bookman Old Style" w:hAnsi="Bookman Old Style" w:cs="Tahoma"/>
          <w:i/>
        </w:rPr>
        <w:t>chiusura del ciclo di programmazione 2017-2013</w:t>
      </w:r>
      <w:r w:rsidRPr="009B052B">
        <w:rPr>
          <w:rFonts w:ascii="Bookman Old Style" w:hAnsi="Bookman Old Style" w:cs="Tahoma"/>
        </w:rPr>
        <w:t xml:space="preserve">, le cui spese erano da certificare entro il termine massimo del 31 marzo 2017 </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I dati sono riferiti al 31 dicembre 2016: a quella data i pagamenti ammissibili al rimborso della quota comunitaria registrati nel sistema nazionale hanno complessivamente raggiunto il 103,8% (pari a 47,5 miliardi di euro) della dotazione totale di risorse che ammontava a 45,781 miliardi di euro.</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Con successiva comunicazione dell’Agenzia per la coesione territoriale, si documenta che i dati contenuti nelle certificazioni finali delle spese trasmessi al 31 marzio 2017 dall’Italia alla Commissione europea mostrano che le autorità dei programmi operativi (PO) hanno certificato spese per un totale di </w:t>
      </w:r>
      <w:r w:rsidRPr="009B052B">
        <w:rPr>
          <w:rFonts w:ascii="Bookman Old Style" w:hAnsi="Bookman Old Style" w:cs="Tahoma"/>
          <w:i/>
        </w:rPr>
        <w:t>46, 242 miliardi di euro</w:t>
      </w:r>
      <w:r w:rsidRPr="009B052B">
        <w:rPr>
          <w:rFonts w:ascii="Bookman Old Style" w:hAnsi="Bookman Old Style" w:cs="Tahoma"/>
        </w:rPr>
        <w:t xml:space="preserve"> (101,01%), con una quota tuttavia pari a </w:t>
      </w:r>
      <w:r w:rsidRPr="009B052B">
        <w:rPr>
          <w:rFonts w:ascii="Bookman Old Style" w:hAnsi="Bookman Old Style" w:cs="Tahoma"/>
          <w:i/>
        </w:rPr>
        <w:t>972 milioni di euro</w:t>
      </w:r>
      <w:r w:rsidRPr="009B052B">
        <w:rPr>
          <w:rFonts w:ascii="Bookman Old Style" w:hAnsi="Bookman Old Style" w:cs="Tahoma"/>
        </w:rPr>
        <w:t xml:space="preserve"> (PON Ricerca) su cui è stata richiesta la </w:t>
      </w:r>
      <w:r w:rsidRPr="009B052B">
        <w:rPr>
          <w:rFonts w:ascii="Bookman Old Style" w:hAnsi="Bookman Old Style" w:cs="Tahoma"/>
          <w:i/>
        </w:rPr>
        <w:t>sospensione</w:t>
      </w:r>
      <w:r w:rsidRPr="009B052B">
        <w:rPr>
          <w:rFonts w:ascii="Bookman Old Style" w:hAnsi="Bookman Old Style" w:cs="Tahoma"/>
        </w:rPr>
        <w:t xml:space="preserve"> ai sensi dell’art.95 del Reg. (CE) 1083\06 ed è dunque a rischio de-certificazione.</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Per il periodo di programmazione 2014-2020 i fondi strutturali (FESR e FSE) sono inclusi nella famiglia dei fondi di investimento europeo (SIE), che comprende anche il fondo per lo sviluppo rurale (FEARS) e quello per gli affari marittimi e la pesca (FEAMP). Essi totalizzano investimenti complessivi pari a 42 miliardi di euro, cui si aggiungono 31 miliardi di co-finanziamento nazionale per un totale di circa </w:t>
      </w:r>
      <w:r w:rsidRPr="009B052B">
        <w:rPr>
          <w:rFonts w:ascii="Bookman Old Style" w:hAnsi="Bookman Old Style" w:cs="Tahoma"/>
          <w:i/>
        </w:rPr>
        <w:t>73 miliardi di euro</w:t>
      </w:r>
      <w:r w:rsidRPr="009B052B">
        <w:rPr>
          <w:rFonts w:ascii="Bookman Old Style" w:hAnsi="Bookman Old Style" w:cs="Tahoma"/>
        </w:rPr>
        <w:t>.</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Agli investimenti della programmazione comunitaria devono sommarsi le risorse nazionali rinvenienti dal Fondo di sviluppo e coesione-FSC (art.1, comma 6 e ss, L.147\2013) determinati in </w:t>
      </w:r>
      <w:r w:rsidRPr="009B052B">
        <w:rPr>
          <w:rFonts w:ascii="Bookman Old Style" w:hAnsi="Bookman Old Style" w:cs="Tahoma"/>
          <w:i/>
        </w:rPr>
        <w:t>54,8 miliardi</w:t>
      </w:r>
      <w:r w:rsidRPr="009B052B">
        <w:rPr>
          <w:rFonts w:ascii="Bookman Old Style" w:hAnsi="Bookman Old Style" w:cs="Tahoma"/>
        </w:rPr>
        <w:t xml:space="preserve"> </w:t>
      </w:r>
      <w:r w:rsidRPr="009B052B">
        <w:rPr>
          <w:rFonts w:ascii="Bookman Old Style" w:hAnsi="Bookman Old Style" w:cs="Tahoma"/>
          <w:i/>
        </w:rPr>
        <w:t>di euro</w:t>
      </w:r>
      <w:r w:rsidRPr="009B052B">
        <w:rPr>
          <w:rFonts w:ascii="Bookman Old Style" w:hAnsi="Bookman Old Style" w:cs="Tahoma"/>
        </w:rPr>
        <w:t>, programmati nell’ambito di una Cabina di regia nazionale istituita presso la Presidenza del Consiglio dei Ministri e ripartiti dal CIPE secondo la chiave di riparto fissata dalla legge, che prevede l’assegnazione dell’80% delle somme a favore delle 8 regioni del Mezzogiorno (Abruzzo, Molise, Sardegna, Sicilia, Puglia, Campania, Basilicata e Calabria)</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lastRenderedPageBreak/>
        <w:t xml:space="preserve">Il processo di definizione della programmazione nazionale, per quanto riguarda i soli fondi FESR e FSE, si è concretizzato in </w:t>
      </w:r>
      <w:r w:rsidRPr="009B052B">
        <w:rPr>
          <w:rFonts w:ascii="Bookman Old Style" w:hAnsi="Bookman Old Style" w:cs="Tahoma"/>
          <w:i/>
        </w:rPr>
        <w:t>51 programmi operativi</w:t>
      </w:r>
      <w:r w:rsidRPr="009B052B">
        <w:rPr>
          <w:rFonts w:ascii="Bookman Old Style" w:hAnsi="Bookman Old Style" w:cs="Tahoma"/>
        </w:rPr>
        <w:t>, 12 nazionali (PON) e 39 regionali (POR)</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Gli interventi del Governo sul tema del riequilibrio territoriale si articolano in tre strategie: a) la strategia di specializzazione intelligente (S3), quale strumento di </w:t>
      </w:r>
      <w:r w:rsidRPr="009B052B">
        <w:rPr>
          <w:rFonts w:ascii="Bookman Old Style" w:hAnsi="Bookman Old Style" w:cs="Tahoma"/>
          <w:i/>
        </w:rPr>
        <w:t>governance</w:t>
      </w:r>
      <w:r w:rsidRPr="009B052B">
        <w:rPr>
          <w:rFonts w:ascii="Bookman Old Style" w:hAnsi="Bookman Old Style" w:cs="Tahoma"/>
        </w:rPr>
        <w:t xml:space="preserve"> per individuare le priorità di investimento nei settori della ricerca, lo sviluppo tecnologico e l’innovazione; b) la strategia per le aree urbane; c) la strategia nazionale per le aree interne.</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Tra i principali veicoli di attuazione della strategia nazionale per la specializzazione intelligente si annoverano: il PON imprese e competitività (2,3 miliardi di euro), il PON ricerca e innovazione (1,3 miliardi di euro), alcuni piani strategici finanziati dal Fondo sviluppo e coesione.</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La strategia per le aree urbane afferma l’importanza di politiche urbane integrate sostenibili in tutte le città italiane. A queste politiche è stato destinato almeno il 5% del FESR nei programmi operativi di tutte le Regioni, secondo quanto prescritto dall’art.7 del Reg. (CE) 1301\2013.</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Le 14 città metropolitane italiane sono beneficiarie, nella qualità di organismo intermedio (e dunque con ampi poteri di gestione delegati dall’Agenzia per la coesione territoriale) di un programma operativo nazionale (PON Metro) che sviluppa investimenti per circa </w:t>
      </w:r>
      <w:r w:rsidRPr="009B052B">
        <w:rPr>
          <w:rFonts w:ascii="Bookman Old Style" w:hAnsi="Bookman Old Style" w:cs="Tahoma"/>
          <w:i/>
        </w:rPr>
        <w:t>892 milioni di euro</w:t>
      </w:r>
      <w:r w:rsidRPr="009B052B">
        <w:rPr>
          <w:rFonts w:ascii="Bookman Old Style" w:hAnsi="Bookman Old Style" w:cs="Tahoma"/>
        </w:rPr>
        <w:t xml:space="preserve"> e un programma complementare, con dotazione finanziaria di circa </w:t>
      </w:r>
      <w:r w:rsidRPr="009B052B">
        <w:rPr>
          <w:rFonts w:ascii="Bookman Old Style" w:hAnsi="Bookman Old Style" w:cs="Tahoma"/>
          <w:i/>
        </w:rPr>
        <w:t>200 milioni di euro</w:t>
      </w:r>
      <w:r w:rsidRPr="009B052B">
        <w:rPr>
          <w:rFonts w:ascii="Bookman Old Style" w:hAnsi="Bookman Old Style" w:cs="Tahoma"/>
        </w:rPr>
        <w:t xml:space="preserve">. </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A ciascuna delle città del Mezzogiorno sono state assegnate risorse (solo PON Metro) per circa 90 milioni di euro, mentre per ciascuna città del centro-nord l’assegnazione è stata di 40 milioni di euro. Gli ambiti tematici di investimento prioritario sono stati definiti a livello europeo e riguardano: il ridisegno e la modernizzazione dei servizi urbani; pratiche e progettazione per l’inclusione sociale; il rafforzamento delle capacità delle città di potenziare filiere pregiate di produzione.</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La strategia nazionale per le aree interne (SNAI) è sostenuta dai Fondi SIE e da risorse nazionali e si prefigge di invertire nel prossimo decennio il calo di popolazione e l’invecchiamento di queste aree. Esse rappresentano circa il 30% del territorio nazionale e sono collocate ad una distanza dai poli di erogazione dei servizi di cittadinanza (scuole, ospedali, ferrovie) che supera i 75 minuti di percorrenza.</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A dicembre 2016 è stato completato il percorso di selezione di 68 aree pilota che comprendo 1.043 comuni, per 2.026.299 abitanti. </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Di recente sono entrate nella sperimentazione nazionale altre 5 aree comprendenti i Comuni del cratere delle quattro regioni (Abruzzo, Umbria, Marche e Lazio) colpiti dai recenti fenomeni sismici.</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Le politiche specificatamente rivolte al Mezzogiorno sono esplicitate dal </w:t>
      </w:r>
      <w:r w:rsidRPr="009B052B">
        <w:rPr>
          <w:rFonts w:ascii="Bookman Old Style" w:hAnsi="Bookman Old Style" w:cs="Tahoma"/>
          <w:i/>
        </w:rPr>
        <w:t>Masterplan</w:t>
      </w:r>
      <w:r w:rsidRPr="009B052B">
        <w:rPr>
          <w:rFonts w:ascii="Bookman Old Style" w:hAnsi="Bookman Old Style" w:cs="Tahoma"/>
        </w:rPr>
        <w:t xml:space="preserve"> </w:t>
      </w:r>
      <w:r w:rsidRPr="009B052B">
        <w:rPr>
          <w:rFonts w:ascii="Bookman Old Style" w:hAnsi="Bookman Old Style" w:cs="Tahoma"/>
          <w:i/>
        </w:rPr>
        <w:t>per il Sud</w:t>
      </w:r>
      <w:r w:rsidRPr="009B052B">
        <w:rPr>
          <w:rFonts w:ascii="Bookman Old Style" w:hAnsi="Bookman Old Style" w:cs="Tahoma"/>
        </w:rPr>
        <w:t xml:space="preserve">, nato nel 2015 (governo Renzi) ed implementato nel 2016 con la sottoscrizione di </w:t>
      </w:r>
      <w:r w:rsidRPr="009B052B">
        <w:rPr>
          <w:rFonts w:ascii="Bookman Old Style" w:hAnsi="Bookman Old Style" w:cs="Tahoma"/>
          <w:i/>
        </w:rPr>
        <w:t>15 patti</w:t>
      </w:r>
      <w:r w:rsidRPr="009B052B">
        <w:rPr>
          <w:rFonts w:ascii="Bookman Old Style" w:hAnsi="Bookman Old Style" w:cs="Tahoma"/>
        </w:rPr>
        <w:t xml:space="preserve"> (8 con le Regioni e 7 con le città metropolitane). </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lastRenderedPageBreak/>
        <w:t xml:space="preserve">Il CIPE con delibera del 10 agosto 2016 ha deliberato l’assegnazione di </w:t>
      </w:r>
      <w:r w:rsidRPr="009B052B">
        <w:rPr>
          <w:rFonts w:ascii="Bookman Old Style" w:hAnsi="Bookman Old Style" w:cs="Tahoma"/>
          <w:i/>
        </w:rPr>
        <w:t>13,4 miliardi</w:t>
      </w:r>
      <w:r w:rsidRPr="009B052B">
        <w:rPr>
          <w:rFonts w:ascii="Bookman Old Style" w:hAnsi="Bookman Old Style" w:cs="Tahoma"/>
        </w:rPr>
        <w:t xml:space="preserve"> di euro di fonte FSC. Il metodo adottato è in corso di estensione anche ad alcune regioni e città metropolitane del centro-nord.</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A febbraio 2017 è stata pubblicata in GU (L.18\2017) la legge di conversione del Decreto Mezzogiorno che ha previsto interventi urgenti che spaziano dalla tutela dell’occupazione alla salvaguardia ambientale, dalle misure di risanamento dell’ILVA all’incremento di 50 milione del Fondo per le non autosufficienza. </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Per agevolare gli investimenti delle imprese, la legge inoltre ha potenziato il credito di imposta per l’acquisto di beni strumentali nuovi, destinati a strutture produttive ubicate nelle regioni meridionali. </w:t>
      </w:r>
    </w:p>
    <w:p w:rsidR="009B052B"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 xml:space="preserve">La legge in questione ha infine stabilito il </w:t>
      </w:r>
      <w:r w:rsidRPr="009B052B">
        <w:rPr>
          <w:rFonts w:ascii="Bookman Old Style" w:hAnsi="Bookman Old Style" w:cs="Tahoma"/>
          <w:i/>
        </w:rPr>
        <w:t>principio di riequilibrio territoriale</w:t>
      </w:r>
      <w:r w:rsidRPr="009B052B">
        <w:rPr>
          <w:rFonts w:ascii="Bookman Old Style" w:hAnsi="Bookman Old Style" w:cs="Tahoma"/>
        </w:rPr>
        <w:t xml:space="preserve"> nelle </w:t>
      </w:r>
      <w:r w:rsidRPr="009B052B">
        <w:rPr>
          <w:rFonts w:ascii="Bookman Old Style" w:hAnsi="Bookman Old Style" w:cs="Tahoma"/>
          <w:i/>
        </w:rPr>
        <w:t>spese in conto capitale</w:t>
      </w:r>
      <w:r w:rsidRPr="009B052B">
        <w:rPr>
          <w:rFonts w:ascii="Bookman Old Style" w:hAnsi="Bookman Old Style" w:cs="Tahoma"/>
        </w:rPr>
        <w:t xml:space="preserve"> delle amministrazioni centrali del settore pubblico allargato, prescrivendo che le stesse a partire dal primo gennaio 2018 si conformino all’obiettivo di destinare agli interventi nel territorio delle Regioni del Mezzogiorno un volume complessivo annuale di stanziamenti proporzionale alla popolazione di riferimento o conforme ad altro criterio relativo a specifiche criticità da individuare con provvedimento del Ministro della Coesione territoriale. </w:t>
      </w:r>
    </w:p>
    <w:p w:rsidR="002F6518" w:rsidRPr="009B052B" w:rsidRDefault="009B052B" w:rsidP="009B052B">
      <w:pPr>
        <w:spacing w:after="120" w:line="259" w:lineRule="auto"/>
        <w:jc w:val="both"/>
        <w:rPr>
          <w:rFonts w:ascii="Bookman Old Style" w:hAnsi="Bookman Old Style" w:cs="Tahoma"/>
        </w:rPr>
      </w:pPr>
      <w:r w:rsidRPr="009B052B">
        <w:rPr>
          <w:rFonts w:ascii="Bookman Old Style" w:hAnsi="Bookman Old Style" w:cs="Tahoma"/>
        </w:rPr>
        <w:t>Secondo un recente studio di SVIMEZ se questo principio fosse stato applicato dall’inizio della crisi (2008), il Mezzogiorno avrebbe avuto una perdita di PIL e occupazione pari quasi alla metà di quella effettivamente subita, senza significativi ed ulteriori impatti negativi per l’economia del centro-nord del Paese.</w:t>
      </w:r>
    </w:p>
    <w:p w:rsidR="002F6518" w:rsidRPr="009B052B" w:rsidRDefault="002F6518" w:rsidP="009B052B">
      <w:pPr>
        <w:spacing w:after="120" w:line="259" w:lineRule="auto"/>
        <w:jc w:val="both"/>
        <w:rPr>
          <w:rFonts w:ascii="Bookman Old Style" w:hAnsi="Bookman Old Style" w:cs="BookAntiqua-Bold"/>
          <w:bCs/>
        </w:rPr>
      </w:pPr>
    </w:p>
    <w:sectPr w:rsidR="002F6518" w:rsidRPr="009B052B" w:rsidSect="003C549A">
      <w:headerReference w:type="default" r:id="rId16"/>
      <w:footerReference w:type="default" r:id="rId17"/>
      <w:headerReference w:type="first" r:id="rId18"/>
      <w:pgSz w:w="11906" w:h="16838"/>
      <w:pgMar w:top="2552" w:right="1134" w:bottom="15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98" w:rsidRDefault="00E35198">
      <w:pPr>
        <w:spacing w:after="0" w:line="240" w:lineRule="auto"/>
      </w:pPr>
      <w:r>
        <w:separator/>
      </w:r>
    </w:p>
  </w:endnote>
  <w:endnote w:type="continuationSeparator" w:id="0">
    <w:p w:rsidR="00E35198" w:rsidRDefault="00E35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37175"/>
      <w:docPartObj>
        <w:docPartGallery w:val="Page Numbers (Bottom of Page)"/>
        <w:docPartUnique/>
      </w:docPartObj>
    </w:sdtPr>
    <w:sdtContent>
      <w:p w:rsidR="00C8446A" w:rsidRDefault="00070093">
        <w:pPr>
          <w:pStyle w:val="Pidipagina"/>
          <w:jc w:val="center"/>
        </w:pPr>
        <w:r>
          <w:fldChar w:fldCharType="begin"/>
        </w:r>
        <w:r w:rsidR="00C8446A">
          <w:instrText>PAGE   \* MERGEFORMAT</w:instrText>
        </w:r>
        <w:r>
          <w:fldChar w:fldCharType="separate"/>
        </w:r>
        <w:r w:rsidR="00BE6563">
          <w:rPr>
            <w:noProof/>
          </w:rPr>
          <w:t>3</w:t>
        </w:r>
        <w:r>
          <w:fldChar w:fldCharType="end"/>
        </w:r>
      </w:p>
    </w:sdtContent>
  </w:sdt>
  <w:p w:rsidR="00C8446A" w:rsidRDefault="00C844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98" w:rsidRDefault="00E35198">
      <w:pPr>
        <w:spacing w:after="0" w:line="240" w:lineRule="auto"/>
      </w:pPr>
      <w:r>
        <w:separator/>
      </w:r>
    </w:p>
  </w:footnote>
  <w:footnote w:type="continuationSeparator" w:id="0">
    <w:p w:rsidR="00E35198" w:rsidRDefault="00E35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6A" w:rsidRDefault="00C8446A">
    <w:pPr>
      <w:pStyle w:val="Intestazione"/>
      <w:jc w:val="center"/>
    </w:pPr>
    <w:r>
      <w:rPr>
        <w:rFonts w:ascii="Bookman Old Style" w:eastAsia="Times New Roman" w:hAnsi="Bookman Old Style" w:cs="Calibri"/>
        <w:noProof/>
        <w:lang w:eastAsia="it-IT"/>
      </w:rPr>
      <w:drawing>
        <wp:inline distT="0" distB="0" distL="0" distR="0">
          <wp:extent cx="592531" cy="883866"/>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32" cy="886553"/>
                  </a:xfrm>
                  <a:prstGeom prst="rect">
                    <a:avLst/>
                  </a:prstGeom>
                  <a:noFill/>
                  <a:ln w="9525">
                    <a:noFill/>
                    <a:miter lim="800000"/>
                    <a:headEnd/>
                    <a:tailEnd/>
                  </a:ln>
                </pic:spPr>
              </pic:pic>
            </a:graphicData>
          </a:graphic>
        </wp:inline>
      </w:drawing>
    </w:r>
  </w:p>
  <w:p w:rsidR="00C8446A" w:rsidRDefault="00C8446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6A" w:rsidRDefault="00C8446A" w:rsidP="00D73915">
    <w:pPr>
      <w:pStyle w:val="Intestazione"/>
      <w:jc w:val="center"/>
    </w:pPr>
    <w:r>
      <w:rPr>
        <w:noProof/>
        <w:lang w:eastAsia="it-IT"/>
      </w:rPr>
      <w:drawing>
        <wp:inline distT="0" distB="0" distL="0" distR="0">
          <wp:extent cx="720000" cy="1064348"/>
          <wp:effectExtent l="0" t="0" r="444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NCI Istituzion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0000" cy="10643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3380C4C"/>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15467DC"/>
    <w:multiLevelType w:val="hybridMultilevel"/>
    <w:tmpl w:val="FB64BB64"/>
    <w:lvl w:ilvl="0" w:tplc="5DFE6654">
      <w:numFmt w:val="bullet"/>
      <w:lvlText w:val="-"/>
      <w:lvlJc w:val="left"/>
      <w:pPr>
        <w:ind w:left="780" w:hanging="420"/>
      </w:pPr>
      <w:rPr>
        <w:rFonts w:ascii="Calibri" w:eastAsia="Times New Roman" w:hAnsi="Calibri" w:cs="Times New Roman" w:hint="default"/>
        <w:color w:val="1F497D"/>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3C5F08"/>
    <w:multiLevelType w:val="hybridMultilevel"/>
    <w:tmpl w:val="12A21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AD39DE"/>
    <w:multiLevelType w:val="hybridMultilevel"/>
    <w:tmpl w:val="9458895C"/>
    <w:lvl w:ilvl="0" w:tplc="87949CDA">
      <w:numFmt w:val="bullet"/>
      <w:lvlText w:val="-"/>
      <w:lvlJc w:val="left"/>
      <w:pPr>
        <w:ind w:left="720" w:hanging="360"/>
      </w:pPr>
      <w:rPr>
        <w:rFonts w:ascii="Bookman Old Style" w:eastAsia="MS Mincho" w:hAnsi="Bookman Old Style"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284A0A"/>
    <w:multiLevelType w:val="hybridMultilevel"/>
    <w:tmpl w:val="2D9C0FD8"/>
    <w:lvl w:ilvl="0" w:tplc="13E6CE2A">
      <w:start w:val="1"/>
      <w:numFmt w:val="bullet"/>
      <w:lvlText w:val="•"/>
      <w:lvlJc w:val="left"/>
      <w:pPr>
        <w:tabs>
          <w:tab w:val="num" w:pos="720"/>
        </w:tabs>
        <w:ind w:left="720" w:hanging="360"/>
      </w:pPr>
      <w:rPr>
        <w:rFonts w:ascii="Arial" w:hAnsi="Arial" w:hint="default"/>
      </w:rPr>
    </w:lvl>
    <w:lvl w:ilvl="1" w:tplc="C67ADAA0" w:tentative="1">
      <w:start w:val="1"/>
      <w:numFmt w:val="bullet"/>
      <w:lvlText w:val="•"/>
      <w:lvlJc w:val="left"/>
      <w:pPr>
        <w:tabs>
          <w:tab w:val="num" w:pos="1440"/>
        </w:tabs>
        <w:ind w:left="1440" w:hanging="360"/>
      </w:pPr>
      <w:rPr>
        <w:rFonts w:ascii="Arial" w:hAnsi="Arial" w:hint="default"/>
      </w:rPr>
    </w:lvl>
    <w:lvl w:ilvl="2" w:tplc="EC7C0C74" w:tentative="1">
      <w:start w:val="1"/>
      <w:numFmt w:val="bullet"/>
      <w:lvlText w:val="•"/>
      <w:lvlJc w:val="left"/>
      <w:pPr>
        <w:tabs>
          <w:tab w:val="num" w:pos="2160"/>
        </w:tabs>
        <w:ind w:left="2160" w:hanging="360"/>
      </w:pPr>
      <w:rPr>
        <w:rFonts w:ascii="Arial" w:hAnsi="Arial" w:hint="default"/>
      </w:rPr>
    </w:lvl>
    <w:lvl w:ilvl="3" w:tplc="3B385E78" w:tentative="1">
      <w:start w:val="1"/>
      <w:numFmt w:val="bullet"/>
      <w:lvlText w:val="•"/>
      <w:lvlJc w:val="left"/>
      <w:pPr>
        <w:tabs>
          <w:tab w:val="num" w:pos="2880"/>
        </w:tabs>
        <w:ind w:left="2880" w:hanging="360"/>
      </w:pPr>
      <w:rPr>
        <w:rFonts w:ascii="Arial" w:hAnsi="Arial" w:hint="default"/>
      </w:rPr>
    </w:lvl>
    <w:lvl w:ilvl="4" w:tplc="BA18C208" w:tentative="1">
      <w:start w:val="1"/>
      <w:numFmt w:val="bullet"/>
      <w:lvlText w:val="•"/>
      <w:lvlJc w:val="left"/>
      <w:pPr>
        <w:tabs>
          <w:tab w:val="num" w:pos="3600"/>
        </w:tabs>
        <w:ind w:left="3600" w:hanging="360"/>
      </w:pPr>
      <w:rPr>
        <w:rFonts w:ascii="Arial" w:hAnsi="Arial" w:hint="default"/>
      </w:rPr>
    </w:lvl>
    <w:lvl w:ilvl="5" w:tplc="573AD3C4" w:tentative="1">
      <w:start w:val="1"/>
      <w:numFmt w:val="bullet"/>
      <w:lvlText w:val="•"/>
      <w:lvlJc w:val="left"/>
      <w:pPr>
        <w:tabs>
          <w:tab w:val="num" w:pos="4320"/>
        </w:tabs>
        <w:ind w:left="4320" w:hanging="360"/>
      </w:pPr>
      <w:rPr>
        <w:rFonts w:ascii="Arial" w:hAnsi="Arial" w:hint="default"/>
      </w:rPr>
    </w:lvl>
    <w:lvl w:ilvl="6" w:tplc="B8A87FD2" w:tentative="1">
      <w:start w:val="1"/>
      <w:numFmt w:val="bullet"/>
      <w:lvlText w:val="•"/>
      <w:lvlJc w:val="left"/>
      <w:pPr>
        <w:tabs>
          <w:tab w:val="num" w:pos="5040"/>
        </w:tabs>
        <w:ind w:left="5040" w:hanging="360"/>
      </w:pPr>
      <w:rPr>
        <w:rFonts w:ascii="Arial" w:hAnsi="Arial" w:hint="default"/>
      </w:rPr>
    </w:lvl>
    <w:lvl w:ilvl="7" w:tplc="1674A826" w:tentative="1">
      <w:start w:val="1"/>
      <w:numFmt w:val="bullet"/>
      <w:lvlText w:val="•"/>
      <w:lvlJc w:val="left"/>
      <w:pPr>
        <w:tabs>
          <w:tab w:val="num" w:pos="5760"/>
        </w:tabs>
        <w:ind w:left="5760" w:hanging="360"/>
      </w:pPr>
      <w:rPr>
        <w:rFonts w:ascii="Arial" w:hAnsi="Arial" w:hint="default"/>
      </w:rPr>
    </w:lvl>
    <w:lvl w:ilvl="8" w:tplc="22A68C6A" w:tentative="1">
      <w:start w:val="1"/>
      <w:numFmt w:val="bullet"/>
      <w:lvlText w:val="•"/>
      <w:lvlJc w:val="left"/>
      <w:pPr>
        <w:tabs>
          <w:tab w:val="num" w:pos="6480"/>
        </w:tabs>
        <w:ind w:left="6480" w:hanging="360"/>
      </w:pPr>
      <w:rPr>
        <w:rFonts w:ascii="Arial" w:hAnsi="Arial" w:hint="default"/>
      </w:rPr>
    </w:lvl>
  </w:abstractNum>
  <w:abstractNum w:abstractNumId="5">
    <w:nsid w:val="7B901831"/>
    <w:multiLevelType w:val="hybridMultilevel"/>
    <w:tmpl w:val="B994F6B8"/>
    <w:lvl w:ilvl="0" w:tplc="183E5BCA">
      <w:numFmt w:val="bullet"/>
      <w:lvlText w:val="-"/>
      <w:lvlJc w:val="left"/>
      <w:pPr>
        <w:ind w:left="720" w:hanging="360"/>
      </w:pPr>
      <w:rPr>
        <w:rFonts w:ascii="Bookman Old Style" w:eastAsia="MS Mincho"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0"/>
  </w:num>
  <w:num w:numId="6">
    <w:abstractNumId w:val="2"/>
  </w:num>
  <w:num w:numId="7">
    <w:abstractNumId w:val="1"/>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AC5151"/>
    <w:rsid w:val="0000224C"/>
    <w:rsid w:val="00070093"/>
    <w:rsid w:val="00087039"/>
    <w:rsid w:val="0009126A"/>
    <w:rsid w:val="00094BE9"/>
    <w:rsid w:val="000B51ED"/>
    <w:rsid w:val="00111D96"/>
    <w:rsid w:val="00141FA0"/>
    <w:rsid w:val="0014264B"/>
    <w:rsid w:val="0014359D"/>
    <w:rsid w:val="001828CA"/>
    <w:rsid w:val="001B2E5E"/>
    <w:rsid w:val="001B7D1B"/>
    <w:rsid w:val="002C6655"/>
    <w:rsid w:val="002D600D"/>
    <w:rsid w:val="002F6518"/>
    <w:rsid w:val="003005E2"/>
    <w:rsid w:val="003216DD"/>
    <w:rsid w:val="003229DB"/>
    <w:rsid w:val="0034168B"/>
    <w:rsid w:val="0036040D"/>
    <w:rsid w:val="003C2A23"/>
    <w:rsid w:val="003C3BB3"/>
    <w:rsid w:val="003C549A"/>
    <w:rsid w:val="003D14BA"/>
    <w:rsid w:val="003D3F94"/>
    <w:rsid w:val="003F7F54"/>
    <w:rsid w:val="00446CFA"/>
    <w:rsid w:val="00490663"/>
    <w:rsid w:val="00494DBF"/>
    <w:rsid w:val="004D28B5"/>
    <w:rsid w:val="005752F7"/>
    <w:rsid w:val="005A5F65"/>
    <w:rsid w:val="005D251F"/>
    <w:rsid w:val="005E43B2"/>
    <w:rsid w:val="00616A56"/>
    <w:rsid w:val="006559AA"/>
    <w:rsid w:val="00666126"/>
    <w:rsid w:val="0067798B"/>
    <w:rsid w:val="006A5550"/>
    <w:rsid w:val="006D2B54"/>
    <w:rsid w:val="006F6E8B"/>
    <w:rsid w:val="00705D32"/>
    <w:rsid w:val="00706603"/>
    <w:rsid w:val="00736CB1"/>
    <w:rsid w:val="00764564"/>
    <w:rsid w:val="007666A5"/>
    <w:rsid w:val="007D189D"/>
    <w:rsid w:val="007F6F72"/>
    <w:rsid w:val="0080006D"/>
    <w:rsid w:val="00826620"/>
    <w:rsid w:val="0083083A"/>
    <w:rsid w:val="008310E2"/>
    <w:rsid w:val="00835887"/>
    <w:rsid w:val="008E5CAE"/>
    <w:rsid w:val="009067AE"/>
    <w:rsid w:val="00924D34"/>
    <w:rsid w:val="00976921"/>
    <w:rsid w:val="009B052B"/>
    <w:rsid w:val="00A326BB"/>
    <w:rsid w:val="00A37662"/>
    <w:rsid w:val="00A77CC1"/>
    <w:rsid w:val="00A804CA"/>
    <w:rsid w:val="00A8265B"/>
    <w:rsid w:val="00A843A5"/>
    <w:rsid w:val="00A95DCC"/>
    <w:rsid w:val="00AB13F6"/>
    <w:rsid w:val="00AC5151"/>
    <w:rsid w:val="00AC752B"/>
    <w:rsid w:val="00B27DDF"/>
    <w:rsid w:val="00B338B5"/>
    <w:rsid w:val="00B72859"/>
    <w:rsid w:val="00B9145E"/>
    <w:rsid w:val="00B9676A"/>
    <w:rsid w:val="00BA77CA"/>
    <w:rsid w:val="00BC0B5C"/>
    <w:rsid w:val="00BD12B6"/>
    <w:rsid w:val="00BD7916"/>
    <w:rsid w:val="00BE1F8D"/>
    <w:rsid w:val="00BE6563"/>
    <w:rsid w:val="00BF35ED"/>
    <w:rsid w:val="00C0589B"/>
    <w:rsid w:val="00C235CC"/>
    <w:rsid w:val="00C27437"/>
    <w:rsid w:val="00C3362A"/>
    <w:rsid w:val="00C43A37"/>
    <w:rsid w:val="00C546D9"/>
    <w:rsid w:val="00C55638"/>
    <w:rsid w:val="00C63002"/>
    <w:rsid w:val="00C8446A"/>
    <w:rsid w:val="00CB175A"/>
    <w:rsid w:val="00CC17A2"/>
    <w:rsid w:val="00CC69C8"/>
    <w:rsid w:val="00D358C3"/>
    <w:rsid w:val="00D40AC3"/>
    <w:rsid w:val="00D73915"/>
    <w:rsid w:val="00D870CB"/>
    <w:rsid w:val="00DA0A62"/>
    <w:rsid w:val="00DA2581"/>
    <w:rsid w:val="00E26867"/>
    <w:rsid w:val="00E35198"/>
    <w:rsid w:val="00E362F0"/>
    <w:rsid w:val="00E8134E"/>
    <w:rsid w:val="00EE4AF7"/>
    <w:rsid w:val="00EF20B0"/>
    <w:rsid w:val="00F235AF"/>
    <w:rsid w:val="00F620B4"/>
    <w:rsid w:val="00FB1C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093"/>
  </w:style>
  <w:style w:type="paragraph" w:styleId="Titolo1">
    <w:name w:val="heading 1"/>
    <w:basedOn w:val="Normale"/>
    <w:next w:val="Corpodeltesto"/>
    <w:link w:val="Titolo1Carattere"/>
    <w:autoRedefine/>
    <w:qFormat/>
    <w:rsid w:val="002F6518"/>
    <w:pPr>
      <w:keepNext/>
      <w:numPr>
        <w:numId w:val="1"/>
      </w:numPr>
      <w:suppressAutoHyphens/>
      <w:spacing w:before="100" w:after="62" w:line="240" w:lineRule="auto"/>
      <w:textAlignment w:val="baseline"/>
      <w:outlineLvl w:val="0"/>
    </w:pPr>
    <w:rPr>
      <w:rFonts w:ascii="Bookman Old Style" w:eastAsia="MS Mincho" w:hAnsi="Bookman Old Style" w:cs="Times New Roman"/>
      <w:b/>
      <w:bCs/>
      <w:color w:val="548DD4" w:themeColor="text2" w:themeTint="99"/>
      <w:kern w:val="1"/>
      <w:sz w:val="26"/>
      <w:szCs w:val="26"/>
      <w:lang w:eastAsia="ar-SA"/>
    </w:rPr>
  </w:style>
  <w:style w:type="paragraph" w:styleId="Titolo2">
    <w:name w:val="heading 2"/>
    <w:basedOn w:val="Normale"/>
    <w:next w:val="Normale"/>
    <w:link w:val="Titolo2Carattere"/>
    <w:autoRedefine/>
    <w:uiPriority w:val="9"/>
    <w:unhideWhenUsed/>
    <w:qFormat/>
    <w:rsid w:val="00070093"/>
    <w:pPr>
      <w:keepNext/>
      <w:keepLines/>
      <w:numPr>
        <w:ilvl w:val="1"/>
        <w:numId w:val="1"/>
      </w:numPr>
      <w:spacing w:after="120"/>
      <w:ind w:left="578" w:hanging="578"/>
      <w:outlineLvl w:val="1"/>
    </w:pPr>
    <w:rPr>
      <w:rFonts w:asciiTheme="majorHAnsi" w:eastAsiaTheme="majorEastAsia" w:hAnsiTheme="majorHAnsi" w:cstheme="majorBidi"/>
      <w:b/>
      <w:bCs/>
      <w:color w:val="4F81BD" w:themeColor="accen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70093"/>
    <w:rPr>
      <w:rFonts w:asciiTheme="majorHAnsi" w:eastAsiaTheme="majorEastAsia" w:hAnsiTheme="majorHAnsi" w:cstheme="majorBidi"/>
      <w:b/>
      <w:bCs/>
      <w:color w:val="4F81BD" w:themeColor="accent1"/>
      <w:szCs w:val="26"/>
    </w:rPr>
  </w:style>
  <w:style w:type="character" w:customStyle="1" w:styleId="Titolo1Carattere">
    <w:name w:val="Titolo 1 Carattere"/>
    <w:basedOn w:val="Carpredefinitoparagrafo"/>
    <w:link w:val="Titolo1"/>
    <w:rsid w:val="002F6518"/>
    <w:rPr>
      <w:rFonts w:ascii="Bookman Old Style" w:eastAsia="MS Mincho" w:hAnsi="Bookman Old Style" w:cs="Times New Roman"/>
      <w:b/>
      <w:bCs/>
      <w:color w:val="548DD4" w:themeColor="text2" w:themeTint="99"/>
      <w:kern w:val="1"/>
      <w:sz w:val="26"/>
      <w:szCs w:val="26"/>
      <w:lang w:eastAsia="ar-SA"/>
    </w:rPr>
  </w:style>
  <w:style w:type="paragraph" w:styleId="Corpodeltesto">
    <w:name w:val="Body Text"/>
    <w:basedOn w:val="Normale"/>
    <w:link w:val="CorpodeltestoCarattere"/>
    <w:uiPriority w:val="99"/>
    <w:semiHidden/>
    <w:unhideWhenUsed/>
    <w:rsid w:val="00070093"/>
    <w:pPr>
      <w:spacing w:after="120"/>
    </w:pPr>
  </w:style>
  <w:style w:type="character" w:customStyle="1" w:styleId="CorpodeltestoCarattere">
    <w:name w:val="Corpo del testo Carattere"/>
    <w:basedOn w:val="Carpredefinitoparagrafo"/>
    <w:link w:val="Corpodeltesto"/>
    <w:uiPriority w:val="99"/>
    <w:semiHidden/>
    <w:rsid w:val="00070093"/>
  </w:style>
  <w:style w:type="paragraph" w:styleId="Intestazione">
    <w:name w:val="header"/>
    <w:basedOn w:val="Normale"/>
    <w:link w:val="IntestazioneCarattere"/>
    <w:uiPriority w:val="99"/>
    <w:unhideWhenUsed/>
    <w:rsid w:val="000700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0093"/>
  </w:style>
  <w:style w:type="paragraph" w:styleId="Pidipagina">
    <w:name w:val="footer"/>
    <w:basedOn w:val="Normale"/>
    <w:link w:val="PidipaginaCarattere"/>
    <w:uiPriority w:val="99"/>
    <w:unhideWhenUsed/>
    <w:rsid w:val="000700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093"/>
  </w:style>
  <w:style w:type="paragraph" w:styleId="Testofumetto">
    <w:name w:val="Balloon Text"/>
    <w:basedOn w:val="Normale"/>
    <w:link w:val="TestofumettoCarattere"/>
    <w:uiPriority w:val="99"/>
    <w:semiHidden/>
    <w:unhideWhenUsed/>
    <w:rsid w:val="00070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093"/>
    <w:rPr>
      <w:rFonts w:ascii="Tahoma" w:hAnsi="Tahoma" w:cs="Tahoma"/>
      <w:sz w:val="16"/>
      <w:szCs w:val="16"/>
    </w:rPr>
  </w:style>
  <w:style w:type="paragraph" w:styleId="Titolosommario">
    <w:name w:val="TOC Heading"/>
    <w:basedOn w:val="Titolo1"/>
    <w:next w:val="Normale"/>
    <w:uiPriority w:val="39"/>
    <w:unhideWhenUsed/>
    <w:qFormat/>
    <w:rsid w:val="00070093"/>
    <w:pPr>
      <w:keepLines/>
      <w:numPr>
        <w:numId w:val="0"/>
      </w:numPr>
      <w:suppressAutoHyphens w:val="0"/>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eastAsia="it-IT"/>
    </w:rPr>
  </w:style>
  <w:style w:type="paragraph" w:styleId="Sommario1">
    <w:name w:val="toc 1"/>
    <w:basedOn w:val="Normale"/>
    <w:next w:val="Normale"/>
    <w:autoRedefine/>
    <w:uiPriority w:val="39"/>
    <w:unhideWhenUsed/>
    <w:rsid w:val="00666126"/>
    <w:pPr>
      <w:tabs>
        <w:tab w:val="right" w:leader="dot" w:pos="9628"/>
      </w:tabs>
      <w:spacing w:after="100"/>
    </w:pPr>
    <w:rPr>
      <w:rFonts w:ascii="Bookman Old Style" w:hAnsi="Bookman Old Style"/>
      <w:b/>
      <w:noProof/>
      <w:sz w:val="20"/>
      <w:szCs w:val="20"/>
    </w:rPr>
  </w:style>
  <w:style w:type="character" w:styleId="Collegamentoipertestuale">
    <w:name w:val="Hyperlink"/>
    <w:basedOn w:val="Carpredefinitoparagrafo"/>
    <w:uiPriority w:val="99"/>
    <w:unhideWhenUsed/>
    <w:rsid w:val="00070093"/>
    <w:rPr>
      <w:color w:val="0000FF" w:themeColor="hyperlink"/>
      <w:u w:val="single"/>
    </w:rPr>
  </w:style>
  <w:style w:type="paragraph" w:styleId="Paragrafoelenco">
    <w:name w:val="List Paragraph"/>
    <w:basedOn w:val="Normale"/>
    <w:uiPriority w:val="34"/>
    <w:qFormat/>
    <w:rsid w:val="00070093"/>
    <w:pPr>
      <w:spacing w:after="0" w:line="240" w:lineRule="auto"/>
      <w:ind w:left="720"/>
      <w:contextualSpacing/>
    </w:pPr>
    <w:rPr>
      <w:rFonts w:ascii="Times New Roman" w:eastAsia="MS Mincho" w:hAnsi="Times New Roman" w:cs="Times New Roman"/>
      <w:sz w:val="24"/>
      <w:szCs w:val="24"/>
      <w:lang w:eastAsia="ja-JP"/>
    </w:rPr>
  </w:style>
  <w:style w:type="paragraph" w:styleId="Sommario2">
    <w:name w:val="toc 2"/>
    <w:basedOn w:val="Normale"/>
    <w:next w:val="Normale"/>
    <w:autoRedefine/>
    <w:uiPriority w:val="39"/>
    <w:unhideWhenUsed/>
    <w:rsid w:val="00070093"/>
    <w:pPr>
      <w:spacing w:after="100"/>
      <w:ind w:left="220"/>
    </w:pPr>
  </w:style>
  <w:style w:type="paragraph" w:styleId="Nessunaspaziatura">
    <w:name w:val="No Spacing"/>
    <w:uiPriority w:val="1"/>
    <w:qFormat/>
    <w:rsid w:val="00070093"/>
    <w:pPr>
      <w:spacing w:after="0" w:line="240" w:lineRule="auto"/>
    </w:pPr>
  </w:style>
  <w:style w:type="character" w:styleId="Enfasigrassetto">
    <w:name w:val="Strong"/>
    <w:basedOn w:val="Carpredefinitoparagrafo"/>
    <w:uiPriority w:val="22"/>
    <w:qFormat/>
    <w:rsid w:val="00070093"/>
    <w:rPr>
      <w:b/>
      <w:bCs/>
    </w:rPr>
  </w:style>
  <w:style w:type="paragraph" w:styleId="NormaleWeb">
    <w:name w:val="Normal (Web)"/>
    <w:basedOn w:val="Normale"/>
    <w:uiPriority w:val="99"/>
    <w:unhideWhenUsed/>
    <w:rsid w:val="004D28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2824063104651537990msolistparagraph">
    <w:name w:val="m_-2824063104651537990msolistparagraph"/>
    <w:basedOn w:val="Normale"/>
    <w:rsid w:val="00494D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4DBF"/>
  </w:style>
  <w:style w:type="paragraph" w:customStyle="1" w:styleId="Default">
    <w:name w:val="Default"/>
    <w:rsid w:val="00666126"/>
    <w:pPr>
      <w:autoSpaceDE w:val="0"/>
      <w:autoSpaceDN w:val="0"/>
      <w:adjustRightInd w:val="0"/>
      <w:spacing w:after="0" w:line="240" w:lineRule="auto"/>
    </w:pPr>
    <w:rPr>
      <w:rFonts w:ascii="Franklin Gothic Demi Cond" w:hAnsi="Franklin Gothic Demi Cond" w:cs="Franklin Gothic Demi Cond"/>
      <w:color w:val="000000"/>
      <w:sz w:val="24"/>
      <w:szCs w:val="24"/>
    </w:rPr>
  </w:style>
</w:styles>
</file>

<file path=word/webSettings.xml><?xml version="1.0" encoding="utf-8"?>
<w:webSettings xmlns:r="http://schemas.openxmlformats.org/officeDocument/2006/relationships" xmlns:w="http://schemas.openxmlformats.org/wordprocessingml/2006/main">
  <w:divs>
    <w:div w:id="1092043956">
      <w:bodyDiv w:val="1"/>
      <w:marLeft w:val="0"/>
      <w:marRight w:val="0"/>
      <w:marTop w:val="0"/>
      <w:marBottom w:val="0"/>
      <w:divBdr>
        <w:top w:val="none" w:sz="0" w:space="0" w:color="auto"/>
        <w:left w:val="none" w:sz="0" w:space="0" w:color="auto"/>
        <w:bottom w:val="none" w:sz="0" w:space="0" w:color="auto"/>
        <w:right w:val="none" w:sz="0" w:space="0" w:color="auto"/>
      </w:divBdr>
    </w:div>
    <w:div w:id="1180584001">
      <w:bodyDiv w:val="1"/>
      <w:marLeft w:val="0"/>
      <w:marRight w:val="0"/>
      <w:marTop w:val="0"/>
      <w:marBottom w:val="0"/>
      <w:divBdr>
        <w:top w:val="none" w:sz="0" w:space="0" w:color="auto"/>
        <w:left w:val="none" w:sz="0" w:space="0" w:color="auto"/>
        <w:bottom w:val="none" w:sz="0" w:space="0" w:color="auto"/>
        <w:right w:val="none" w:sz="0" w:space="0" w:color="auto"/>
      </w:divBdr>
    </w:div>
    <w:div w:id="2093891367">
      <w:bodyDiv w:val="1"/>
      <w:marLeft w:val="0"/>
      <w:marRight w:val="0"/>
      <w:marTop w:val="0"/>
      <w:marBottom w:val="0"/>
      <w:divBdr>
        <w:top w:val="none" w:sz="0" w:space="0" w:color="auto"/>
        <w:left w:val="none" w:sz="0" w:space="0" w:color="auto"/>
        <w:bottom w:val="none" w:sz="0" w:space="0" w:color="auto"/>
        <w:right w:val="none" w:sz="0" w:space="0" w:color="auto"/>
      </w:divBdr>
      <w:divsChild>
        <w:div w:id="318385291">
          <w:marLeft w:val="288"/>
          <w:marRight w:val="0"/>
          <w:marTop w:val="60"/>
          <w:marBottom w:val="60"/>
          <w:divBdr>
            <w:top w:val="none" w:sz="0" w:space="0" w:color="auto"/>
            <w:left w:val="none" w:sz="0" w:space="0" w:color="auto"/>
            <w:bottom w:val="none" w:sz="0" w:space="0" w:color="auto"/>
            <w:right w:val="none" w:sz="0" w:space="0" w:color="auto"/>
          </w:divBdr>
        </w:div>
        <w:div w:id="1949964383">
          <w:marLeft w:val="288"/>
          <w:marRight w:val="0"/>
          <w:marTop w:val="60"/>
          <w:marBottom w:val="60"/>
          <w:divBdr>
            <w:top w:val="none" w:sz="0" w:space="0" w:color="auto"/>
            <w:left w:val="none" w:sz="0" w:space="0" w:color="auto"/>
            <w:bottom w:val="none" w:sz="0" w:space="0" w:color="auto"/>
            <w:right w:val="none" w:sz="0" w:space="0" w:color="auto"/>
          </w:divBdr>
        </w:div>
        <w:div w:id="351421231">
          <w:marLeft w:val="288"/>
          <w:marRight w:val="0"/>
          <w:marTop w:val="60"/>
          <w:marBottom w:val="60"/>
          <w:divBdr>
            <w:top w:val="none" w:sz="0" w:space="0" w:color="auto"/>
            <w:left w:val="none" w:sz="0" w:space="0" w:color="auto"/>
            <w:bottom w:val="none" w:sz="0" w:space="0" w:color="auto"/>
            <w:right w:val="none" w:sz="0" w:space="0" w:color="auto"/>
          </w:divBdr>
        </w:div>
      </w:divsChild>
    </w:div>
    <w:div w:id="21076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053F-2AF8-4275-98E0-C284BC6B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13417</Words>
  <Characters>76481</Characters>
  <Application>Microsoft Office Word</Application>
  <DocSecurity>0</DocSecurity>
  <Lines>637</Lines>
  <Paragraphs>179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Dota</dc:creator>
  <cp:lastModifiedBy>a</cp:lastModifiedBy>
  <cp:revision>2</cp:revision>
  <cp:lastPrinted>2017-04-18T09:56:00Z</cp:lastPrinted>
  <dcterms:created xsi:type="dcterms:W3CDTF">2017-04-18T12:48:00Z</dcterms:created>
  <dcterms:modified xsi:type="dcterms:W3CDTF">2017-04-18T12:48:00Z</dcterms:modified>
</cp:coreProperties>
</file>