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992"/>
      </w:tblGrid>
      <w:tr w:rsidR="0011716A" w:rsidRPr="0011716A" w:rsidTr="0011716A">
        <w:tc>
          <w:tcPr>
            <w:tcW w:w="4786" w:type="dxa"/>
            <w:vAlign w:val="center"/>
          </w:tcPr>
          <w:p w:rsidR="0011716A" w:rsidRPr="0011716A" w:rsidRDefault="0011716A" w:rsidP="0011716A">
            <w:pPr>
              <w:spacing w:before="60" w:after="60" w:line="240" w:lineRule="auto"/>
              <w:ind w:firstLine="0"/>
              <w:jc w:val="center"/>
              <w:rPr>
                <w:rFonts w:ascii="Bookman Old Style" w:hAnsi="Bookman Old Style"/>
                <w:b/>
                <w:i/>
                <w:iCs/>
                <w:szCs w:val="22"/>
              </w:rPr>
            </w:pPr>
            <w:r w:rsidRPr="0011716A">
              <w:rPr>
                <w:rFonts w:ascii="Bookman Old Style" w:hAnsi="Bookman Old Style"/>
                <w:noProof/>
                <w:szCs w:val="22"/>
              </w:rPr>
              <w:drawing>
                <wp:inline distT="0" distB="0" distL="0" distR="0">
                  <wp:extent cx="685800" cy="914400"/>
                  <wp:effectExtent l="0" t="0" r="0" b="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cstate="print"/>
                          <a:srcRect/>
                          <a:stretch>
                            <a:fillRect/>
                          </a:stretch>
                        </pic:blipFill>
                        <pic:spPr bwMode="auto">
                          <a:xfrm>
                            <a:off x="0" y="0"/>
                            <a:ext cx="685800" cy="914400"/>
                          </a:xfrm>
                          <a:prstGeom prst="rect">
                            <a:avLst/>
                          </a:prstGeom>
                          <a:noFill/>
                          <a:ln w="9525">
                            <a:noFill/>
                            <a:miter lim="800000"/>
                            <a:headEnd/>
                            <a:tailEnd/>
                          </a:ln>
                        </pic:spPr>
                      </pic:pic>
                    </a:graphicData>
                  </a:graphic>
                </wp:inline>
              </w:drawing>
            </w:r>
          </w:p>
        </w:tc>
        <w:tc>
          <w:tcPr>
            <w:tcW w:w="4992" w:type="dxa"/>
            <w:vAlign w:val="center"/>
          </w:tcPr>
          <w:p w:rsidR="0011716A" w:rsidRPr="0011716A" w:rsidRDefault="0011716A" w:rsidP="0011716A">
            <w:pPr>
              <w:spacing w:before="60" w:after="60" w:line="240" w:lineRule="auto"/>
              <w:ind w:firstLine="0"/>
              <w:jc w:val="center"/>
              <w:rPr>
                <w:rFonts w:ascii="Bookman Old Style" w:hAnsi="Bookman Old Style"/>
                <w:b/>
                <w:i/>
                <w:iCs/>
                <w:szCs w:val="22"/>
              </w:rPr>
            </w:pPr>
            <w:r w:rsidRPr="0011716A">
              <w:rPr>
                <w:rFonts w:ascii="Bookman Old Style" w:hAnsi="Bookman Old Style"/>
                <w:b/>
                <w:i/>
                <w:iCs/>
                <w:noProof/>
                <w:szCs w:val="22"/>
              </w:rPr>
              <w:drawing>
                <wp:inline distT="0" distB="0" distL="0" distR="0">
                  <wp:extent cx="792000" cy="661490"/>
                  <wp:effectExtent l="0" t="0" r="8255"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012 IFEL_Fondazione.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92000" cy="661490"/>
                          </a:xfrm>
                          <a:prstGeom prst="rect">
                            <a:avLst/>
                          </a:prstGeom>
                        </pic:spPr>
                      </pic:pic>
                    </a:graphicData>
                  </a:graphic>
                </wp:inline>
              </w:drawing>
            </w:r>
          </w:p>
        </w:tc>
      </w:tr>
    </w:tbl>
    <w:p w:rsidR="00317C9B" w:rsidRPr="00051A6E" w:rsidRDefault="00317C9B" w:rsidP="00317C9B">
      <w:pPr>
        <w:tabs>
          <w:tab w:val="left" w:pos="3285"/>
        </w:tabs>
        <w:spacing w:before="60" w:after="60" w:line="240" w:lineRule="auto"/>
        <w:ind w:firstLine="0"/>
        <w:rPr>
          <w:rFonts w:ascii="Bookman Old Style" w:hAnsi="Bookman Old Style"/>
          <w:b/>
          <w:i/>
          <w:iCs/>
          <w:szCs w:val="22"/>
        </w:rPr>
      </w:pPr>
    </w:p>
    <w:p w:rsidR="00317C9B" w:rsidRPr="00051A6E" w:rsidRDefault="00317C9B" w:rsidP="00317C9B">
      <w:pPr>
        <w:tabs>
          <w:tab w:val="left" w:pos="3285"/>
        </w:tabs>
        <w:spacing w:before="60" w:after="60" w:line="240" w:lineRule="auto"/>
        <w:ind w:firstLine="0"/>
        <w:rPr>
          <w:rFonts w:ascii="Bookman Old Style" w:hAnsi="Bookman Old Style"/>
          <w:b/>
          <w:i/>
          <w:iCs/>
          <w:szCs w:val="22"/>
        </w:rPr>
      </w:pPr>
    </w:p>
    <w:p w:rsidR="00B079A3" w:rsidRDefault="007C387A" w:rsidP="00FF4B6E">
      <w:pPr>
        <w:tabs>
          <w:tab w:val="left" w:pos="3285"/>
        </w:tabs>
        <w:spacing w:before="60" w:after="60" w:line="240" w:lineRule="auto"/>
        <w:ind w:firstLine="0"/>
        <w:jc w:val="center"/>
        <w:rPr>
          <w:rFonts w:ascii="Bookman Old Style" w:hAnsi="Bookman Old Style"/>
          <w:b/>
          <w:i/>
          <w:iCs/>
          <w:szCs w:val="22"/>
        </w:rPr>
      </w:pPr>
      <w:r>
        <w:rPr>
          <w:rFonts w:ascii="Bookman Old Style" w:hAnsi="Bookman Old Style"/>
          <w:b/>
          <w:i/>
          <w:iCs/>
          <w:szCs w:val="22"/>
        </w:rPr>
        <w:t>AC 1334 B</w:t>
      </w:r>
    </w:p>
    <w:p w:rsidR="00317C9B" w:rsidRPr="00051A6E" w:rsidRDefault="00317C9B" w:rsidP="00FF4B6E">
      <w:pPr>
        <w:tabs>
          <w:tab w:val="left" w:pos="3285"/>
        </w:tabs>
        <w:spacing w:before="60" w:after="60" w:line="240" w:lineRule="auto"/>
        <w:ind w:firstLine="0"/>
        <w:jc w:val="center"/>
        <w:rPr>
          <w:rFonts w:ascii="Bookman Old Style" w:hAnsi="Bookman Old Style"/>
          <w:b/>
          <w:i/>
          <w:iCs/>
          <w:szCs w:val="22"/>
        </w:rPr>
      </w:pPr>
      <w:r w:rsidRPr="00051A6E">
        <w:rPr>
          <w:rFonts w:ascii="Bookman Old Style" w:hAnsi="Bookman Old Style"/>
          <w:b/>
          <w:i/>
          <w:iCs/>
          <w:szCs w:val="22"/>
        </w:rPr>
        <w:t>Legge di Bilancio 2019</w:t>
      </w:r>
    </w:p>
    <w:p w:rsidR="00FF4B6E" w:rsidRPr="00051A6E" w:rsidRDefault="00FF4B6E" w:rsidP="00FF4B6E">
      <w:pPr>
        <w:tabs>
          <w:tab w:val="left" w:pos="3285"/>
        </w:tabs>
        <w:spacing w:before="60" w:after="60" w:line="240" w:lineRule="auto"/>
        <w:ind w:firstLine="0"/>
        <w:jc w:val="center"/>
        <w:rPr>
          <w:rFonts w:ascii="Bookman Old Style" w:hAnsi="Bookman Old Style"/>
          <w:b/>
          <w:i/>
          <w:iCs/>
          <w:szCs w:val="22"/>
        </w:rPr>
      </w:pPr>
    </w:p>
    <w:p w:rsidR="009775E0" w:rsidRPr="003431C6" w:rsidRDefault="000924D8" w:rsidP="00C444B3">
      <w:pPr>
        <w:tabs>
          <w:tab w:val="left" w:pos="3285"/>
        </w:tabs>
        <w:spacing w:before="60" w:after="60" w:line="240" w:lineRule="auto"/>
        <w:ind w:firstLine="0"/>
        <w:jc w:val="center"/>
        <w:rPr>
          <w:rFonts w:ascii="Bookman Old Style" w:hAnsi="Bookman Old Style"/>
          <w:b/>
          <w:i/>
          <w:iCs/>
          <w:sz w:val="28"/>
          <w:szCs w:val="22"/>
        </w:rPr>
      </w:pPr>
      <w:r w:rsidRPr="003431C6">
        <w:rPr>
          <w:rFonts w:ascii="Bookman Old Style" w:hAnsi="Bookman Old Style"/>
          <w:b/>
          <w:i/>
          <w:iCs/>
          <w:sz w:val="28"/>
          <w:szCs w:val="22"/>
        </w:rPr>
        <w:t>Prima n</w:t>
      </w:r>
      <w:r w:rsidR="00C444B3" w:rsidRPr="003431C6">
        <w:rPr>
          <w:rFonts w:ascii="Bookman Old Style" w:hAnsi="Bookman Old Style"/>
          <w:b/>
          <w:i/>
          <w:iCs/>
          <w:sz w:val="28"/>
          <w:szCs w:val="22"/>
        </w:rPr>
        <w:t>ota di lettura sui contenuti</w:t>
      </w:r>
    </w:p>
    <w:p w:rsidR="009775E0" w:rsidRDefault="009775E0" w:rsidP="00B629BC">
      <w:pPr>
        <w:tabs>
          <w:tab w:val="left" w:pos="3285"/>
        </w:tabs>
        <w:spacing w:before="60" w:after="60" w:line="240" w:lineRule="auto"/>
        <w:ind w:firstLine="0"/>
        <w:rPr>
          <w:rFonts w:ascii="Bookman Old Style" w:hAnsi="Bookman Old Style"/>
          <w:b/>
          <w:i/>
          <w:iCs/>
          <w:szCs w:val="22"/>
        </w:rPr>
      </w:pPr>
    </w:p>
    <w:p w:rsidR="009775E0" w:rsidRDefault="009775E0" w:rsidP="001077D1">
      <w:pPr>
        <w:tabs>
          <w:tab w:val="left" w:pos="3285"/>
        </w:tabs>
        <w:spacing w:before="60" w:after="60" w:line="240" w:lineRule="auto"/>
        <w:ind w:firstLine="0"/>
        <w:jc w:val="center"/>
        <w:rPr>
          <w:rFonts w:ascii="Bookman Old Style" w:hAnsi="Bookman Old Style"/>
          <w:b/>
          <w:i/>
          <w:iCs/>
          <w:szCs w:val="22"/>
        </w:rPr>
      </w:pPr>
    </w:p>
    <w:p w:rsidR="009775E0" w:rsidRDefault="009775E0" w:rsidP="001077D1">
      <w:pPr>
        <w:tabs>
          <w:tab w:val="left" w:pos="3285"/>
        </w:tabs>
        <w:spacing w:before="60" w:after="60" w:line="240" w:lineRule="auto"/>
        <w:ind w:firstLine="0"/>
        <w:jc w:val="center"/>
        <w:rPr>
          <w:rFonts w:ascii="Bookman Old Style" w:hAnsi="Bookman Old Style"/>
          <w:b/>
          <w:i/>
          <w:iCs/>
          <w:szCs w:val="22"/>
        </w:rPr>
      </w:pPr>
    </w:p>
    <w:p w:rsidR="009775E0" w:rsidRDefault="009775E0" w:rsidP="001077D1">
      <w:pPr>
        <w:tabs>
          <w:tab w:val="left" w:pos="3285"/>
        </w:tabs>
        <w:spacing w:before="60" w:after="60" w:line="240" w:lineRule="auto"/>
        <w:ind w:firstLine="0"/>
        <w:jc w:val="center"/>
        <w:rPr>
          <w:rFonts w:ascii="Bookman Old Style" w:hAnsi="Bookman Old Style"/>
          <w:b/>
          <w:i/>
          <w:iCs/>
          <w:szCs w:val="22"/>
        </w:rPr>
      </w:pPr>
      <w:bookmarkStart w:id="0" w:name="_GoBack"/>
      <w:bookmarkEnd w:id="0"/>
    </w:p>
    <w:p w:rsidR="009775E0" w:rsidRDefault="009775E0" w:rsidP="001077D1">
      <w:pPr>
        <w:tabs>
          <w:tab w:val="left" w:pos="3285"/>
        </w:tabs>
        <w:spacing w:before="60" w:after="60" w:line="240" w:lineRule="auto"/>
        <w:ind w:firstLine="0"/>
        <w:jc w:val="center"/>
        <w:rPr>
          <w:rFonts w:ascii="Bookman Old Style" w:hAnsi="Bookman Old Style"/>
          <w:b/>
          <w:i/>
          <w:iCs/>
          <w:szCs w:val="22"/>
        </w:rPr>
      </w:pPr>
    </w:p>
    <w:p w:rsidR="009775E0" w:rsidRDefault="009775E0" w:rsidP="001077D1">
      <w:pPr>
        <w:tabs>
          <w:tab w:val="left" w:pos="3285"/>
        </w:tabs>
        <w:spacing w:before="60" w:after="60" w:line="240" w:lineRule="auto"/>
        <w:ind w:firstLine="0"/>
        <w:jc w:val="center"/>
        <w:rPr>
          <w:rFonts w:ascii="Bookman Old Style" w:hAnsi="Bookman Old Style"/>
          <w:b/>
          <w:i/>
          <w:iCs/>
          <w:szCs w:val="22"/>
        </w:rPr>
      </w:pPr>
    </w:p>
    <w:p w:rsidR="009775E0" w:rsidRDefault="009775E0" w:rsidP="001077D1">
      <w:pPr>
        <w:tabs>
          <w:tab w:val="left" w:pos="3285"/>
        </w:tabs>
        <w:spacing w:before="60" w:after="60" w:line="240" w:lineRule="auto"/>
        <w:ind w:firstLine="0"/>
        <w:jc w:val="center"/>
        <w:rPr>
          <w:rFonts w:ascii="Bookman Old Style" w:hAnsi="Bookman Old Style"/>
          <w:b/>
          <w:i/>
          <w:iCs/>
          <w:szCs w:val="22"/>
        </w:rPr>
      </w:pPr>
    </w:p>
    <w:p w:rsidR="0090370C" w:rsidRDefault="0090370C" w:rsidP="001077D1">
      <w:pPr>
        <w:tabs>
          <w:tab w:val="left" w:pos="3285"/>
        </w:tabs>
        <w:spacing w:before="60" w:after="60" w:line="240" w:lineRule="auto"/>
        <w:ind w:firstLine="0"/>
        <w:jc w:val="center"/>
        <w:rPr>
          <w:rFonts w:ascii="Bookman Old Style" w:hAnsi="Bookman Old Style"/>
          <w:b/>
          <w:i/>
          <w:iCs/>
          <w:szCs w:val="22"/>
        </w:rPr>
      </w:pPr>
    </w:p>
    <w:p w:rsidR="009775E0" w:rsidRDefault="009775E0" w:rsidP="001077D1">
      <w:pPr>
        <w:tabs>
          <w:tab w:val="left" w:pos="3285"/>
        </w:tabs>
        <w:spacing w:before="60" w:after="60" w:line="240" w:lineRule="auto"/>
        <w:ind w:firstLine="0"/>
        <w:jc w:val="center"/>
        <w:rPr>
          <w:rFonts w:ascii="Bookman Old Style" w:hAnsi="Bookman Old Style"/>
          <w:b/>
          <w:i/>
          <w:iCs/>
          <w:szCs w:val="22"/>
        </w:rPr>
      </w:pPr>
    </w:p>
    <w:p w:rsidR="009775E0" w:rsidRDefault="009775E0" w:rsidP="001077D1">
      <w:pPr>
        <w:tabs>
          <w:tab w:val="left" w:pos="3285"/>
        </w:tabs>
        <w:spacing w:before="60" w:after="60" w:line="240" w:lineRule="auto"/>
        <w:ind w:firstLine="0"/>
        <w:jc w:val="center"/>
        <w:rPr>
          <w:rFonts w:ascii="Bookman Old Style" w:hAnsi="Bookman Old Style"/>
          <w:b/>
          <w:i/>
          <w:iCs/>
          <w:szCs w:val="22"/>
        </w:rPr>
      </w:pPr>
    </w:p>
    <w:p w:rsidR="007975FF" w:rsidRPr="007975FF" w:rsidRDefault="007975FF" w:rsidP="001077D1">
      <w:pPr>
        <w:tabs>
          <w:tab w:val="left" w:pos="3285"/>
        </w:tabs>
        <w:spacing w:before="60" w:after="60" w:line="240" w:lineRule="auto"/>
        <w:ind w:firstLine="0"/>
        <w:jc w:val="center"/>
        <w:rPr>
          <w:rFonts w:ascii="Bookman Old Style" w:hAnsi="Bookman Old Style"/>
          <w:b/>
          <w:i/>
          <w:iCs/>
          <w:sz w:val="14"/>
          <w:szCs w:val="22"/>
        </w:rPr>
      </w:pPr>
    </w:p>
    <w:sdt>
      <w:sdtPr>
        <w:rPr>
          <w:rFonts w:ascii="Arial" w:eastAsia="Times New Roman" w:hAnsi="Arial" w:cs="Times New Roman"/>
          <w:color w:val="auto"/>
          <w:sz w:val="22"/>
          <w:szCs w:val="20"/>
        </w:rPr>
        <w:id w:val="1422996777"/>
        <w:docPartObj>
          <w:docPartGallery w:val="Table of Contents"/>
          <w:docPartUnique/>
        </w:docPartObj>
      </w:sdtPr>
      <w:sdtEndPr>
        <w:rPr>
          <w:b/>
          <w:bCs/>
        </w:rPr>
      </w:sdtEndPr>
      <w:sdtContent>
        <w:p w:rsidR="001459C6" w:rsidRPr="009775E0" w:rsidRDefault="001459C6" w:rsidP="0090370C">
          <w:pPr>
            <w:pStyle w:val="Titolosommario"/>
            <w:spacing w:before="0" w:after="20" w:line="240" w:lineRule="auto"/>
            <w:rPr>
              <w:sz w:val="24"/>
            </w:rPr>
          </w:pPr>
          <w:r w:rsidRPr="0090370C">
            <w:rPr>
              <w:b/>
              <w:sz w:val="28"/>
            </w:rPr>
            <w:t>Sommario</w:t>
          </w:r>
        </w:p>
        <w:p w:rsidR="0090370C" w:rsidRDefault="007132D8" w:rsidP="0090370C">
          <w:pPr>
            <w:pStyle w:val="Sommario1"/>
            <w:spacing w:after="20" w:line="240" w:lineRule="auto"/>
            <w:rPr>
              <w:rFonts w:asciiTheme="minorHAnsi" w:eastAsiaTheme="minorEastAsia" w:hAnsiTheme="minorHAnsi" w:cstheme="minorBidi"/>
              <w:b w:val="0"/>
              <w:szCs w:val="22"/>
              <w:lang w:val="fr-FR" w:eastAsia="fr-FR"/>
            </w:rPr>
          </w:pPr>
          <w:r>
            <w:rPr>
              <w:bCs/>
            </w:rPr>
            <w:fldChar w:fldCharType="begin"/>
          </w:r>
          <w:r w:rsidR="001459C6">
            <w:rPr>
              <w:bCs/>
            </w:rPr>
            <w:instrText xml:space="preserve"> TOC \o "1-3" \h \z \u </w:instrText>
          </w:r>
          <w:r>
            <w:rPr>
              <w:bCs/>
            </w:rPr>
            <w:fldChar w:fldCharType="separate"/>
          </w:r>
          <w:hyperlink w:anchor="_Toc534027961" w:history="1">
            <w:r w:rsidR="0090370C" w:rsidRPr="00BB7FC6">
              <w:rPr>
                <w:rStyle w:val="Collegamentoipertestuale"/>
                <w:rFonts w:ascii="Bookman Old Style" w:hAnsi="Bookman Old Style"/>
              </w:rPr>
              <w:t>PREMESSA E SINTESI</w:t>
            </w:r>
            <w:r w:rsidR="0090370C">
              <w:rPr>
                <w:webHidden/>
              </w:rPr>
              <w:tab/>
            </w:r>
            <w:r>
              <w:rPr>
                <w:webHidden/>
              </w:rPr>
              <w:fldChar w:fldCharType="begin"/>
            </w:r>
            <w:r w:rsidR="0090370C">
              <w:rPr>
                <w:webHidden/>
              </w:rPr>
              <w:instrText xml:space="preserve"> PAGEREF _Toc534027961 \h </w:instrText>
            </w:r>
            <w:r>
              <w:rPr>
                <w:webHidden/>
              </w:rPr>
            </w:r>
            <w:r>
              <w:rPr>
                <w:webHidden/>
              </w:rPr>
              <w:fldChar w:fldCharType="separate"/>
            </w:r>
            <w:r w:rsidR="00713CB4">
              <w:rPr>
                <w:webHidden/>
              </w:rPr>
              <w:t>3</w:t>
            </w:r>
            <w:r>
              <w:rPr>
                <w:webHidden/>
              </w:rPr>
              <w:fldChar w:fldCharType="end"/>
            </w:r>
          </w:hyperlink>
        </w:p>
        <w:p w:rsidR="0090370C" w:rsidRDefault="007132D8" w:rsidP="0090370C">
          <w:pPr>
            <w:pStyle w:val="Sommario1"/>
            <w:spacing w:after="20" w:line="240" w:lineRule="auto"/>
            <w:rPr>
              <w:rFonts w:asciiTheme="minorHAnsi" w:eastAsiaTheme="minorEastAsia" w:hAnsiTheme="minorHAnsi" w:cstheme="minorBidi"/>
              <w:b w:val="0"/>
              <w:szCs w:val="22"/>
              <w:lang w:val="fr-FR" w:eastAsia="fr-FR"/>
            </w:rPr>
          </w:pPr>
          <w:hyperlink w:anchor="_Toc534027962" w:history="1">
            <w:r w:rsidR="0090370C" w:rsidRPr="00BB7FC6">
              <w:rPr>
                <w:rStyle w:val="Collegamentoipertestuale"/>
                <w:rFonts w:ascii="Bookman Old Style" w:eastAsiaTheme="minorHAnsi" w:hAnsi="Bookman Old Style"/>
                <w:lang w:eastAsia="en-US"/>
              </w:rPr>
              <w:t>NORME FONDAMENTALI ACCORDO 29 NOVEMBRE 2018</w:t>
            </w:r>
            <w:r w:rsidR="0090370C">
              <w:rPr>
                <w:webHidden/>
              </w:rPr>
              <w:tab/>
            </w:r>
            <w:r>
              <w:rPr>
                <w:webHidden/>
              </w:rPr>
              <w:fldChar w:fldCharType="begin"/>
            </w:r>
            <w:r w:rsidR="0090370C">
              <w:rPr>
                <w:webHidden/>
              </w:rPr>
              <w:instrText xml:space="preserve"> PAGEREF _Toc534027962 \h </w:instrText>
            </w:r>
            <w:r>
              <w:rPr>
                <w:webHidden/>
              </w:rPr>
            </w:r>
            <w:r>
              <w:rPr>
                <w:webHidden/>
              </w:rPr>
              <w:fldChar w:fldCharType="separate"/>
            </w:r>
            <w:r w:rsidR="00713CB4">
              <w:rPr>
                <w:webHidden/>
              </w:rPr>
              <w:t>5</w:t>
            </w:r>
            <w:r>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7963" w:history="1">
            <w:r w:rsidR="0090370C" w:rsidRPr="0090370C">
              <w:rPr>
                <w:rStyle w:val="Collegamentoipertestuale"/>
              </w:rPr>
              <w:t>Imposta pubblicità comunale–Rateizzazione rimborsi e ripristino maggiorazioni</w:t>
            </w:r>
            <w:r w:rsidR="0090370C" w:rsidRPr="0090370C">
              <w:rPr>
                <w:webHidden/>
              </w:rPr>
              <w:tab/>
            </w:r>
            <w:r w:rsidRPr="0090370C">
              <w:rPr>
                <w:webHidden/>
              </w:rPr>
              <w:fldChar w:fldCharType="begin"/>
            </w:r>
            <w:r w:rsidR="0090370C" w:rsidRPr="0090370C">
              <w:rPr>
                <w:webHidden/>
              </w:rPr>
              <w:instrText xml:space="preserve"> PAGEREF _Toc534027963 \h </w:instrText>
            </w:r>
            <w:r w:rsidRPr="0090370C">
              <w:rPr>
                <w:webHidden/>
              </w:rPr>
            </w:r>
            <w:r w:rsidRPr="0090370C">
              <w:rPr>
                <w:webHidden/>
              </w:rPr>
              <w:fldChar w:fldCharType="separate"/>
            </w:r>
            <w:r w:rsidR="00713CB4">
              <w:rPr>
                <w:webHidden/>
              </w:rPr>
              <w:t>5</w:t>
            </w:r>
            <w:r w:rsidRPr="0090370C">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7964" w:history="1">
            <w:r w:rsidR="0090370C" w:rsidRPr="0090370C">
              <w:rPr>
                <w:rStyle w:val="Collegamentoipertestuale"/>
              </w:rPr>
              <w:t>Maggiorazione TASI</w:t>
            </w:r>
            <w:r w:rsidR="0090370C" w:rsidRPr="0090370C">
              <w:rPr>
                <w:webHidden/>
              </w:rPr>
              <w:tab/>
            </w:r>
            <w:r w:rsidRPr="0090370C">
              <w:rPr>
                <w:webHidden/>
              </w:rPr>
              <w:fldChar w:fldCharType="begin"/>
            </w:r>
            <w:r w:rsidR="0090370C" w:rsidRPr="0090370C">
              <w:rPr>
                <w:webHidden/>
              </w:rPr>
              <w:instrText xml:space="preserve"> PAGEREF _Toc534027964 \h </w:instrText>
            </w:r>
            <w:r w:rsidRPr="0090370C">
              <w:rPr>
                <w:webHidden/>
              </w:rPr>
            </w:r>
            <w:r w:rsidRPr="0090370C">
              <w:rPr>
                <w:webHidden/>
              </w:rPr>
              <w:fldChar w:fldCharType="separate"/>
            </w:r>
            <w:r w:rsidR="00713CB4">
              <w:rPr>
                <w:webHidden/>
              </w:rPr>
              <w:t>5</w:t>
            </w:r>
            <w:r w:rsidRPr="0090370C">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7965" w:history="1">
            <w:r w:rsidR="0090370C" w:rsidRPr="0090370C">
              <w:rPr>
                <w:rStyle w:val="Collegamentoipertestuale"/>
              </w:rPr>
              <w:t>Fondo IMU-Tasi – Ripristino parziale (190 milioni)</w:t>
            </w:r>
            <w:r w:rsidR="0090370C" w:rsidRPr="0090370C">
              <w:rPr>
                <w:webHidden/>
              </w:rPr>
              <w:tab/>
            </w:r>
            <w:r w:rsidRPr="0090370C">
              <w:rPr>
                <w:webHidden/>
              </w:rPr>
              <w:fldChar w:fldCharType="begin"/>
            </w:r>
            <w:r w:rsidR="0090370C" w:rsidRPr="0090370C">
              <w:rPr>
                <w:webHidden/>
              </w:rPr>
              <w:instrText xml:space="preserve"> PAGEREF _Toc534027965 \h </w:instrText>
            </w:r>
            <w:r w:rsidRPr="0090370C">
              <w:rPr>
                <w:webHidden/>
              </w:rPr>
            </w:r>
            <w:r w:rsidRPr="0090370C">
              <w:rPr>
                <w:webHidden/>
              </w:rPr>
              <w:fldChar w:fldCharType="separate"/>
            </w:r>
            <w:r w:rsidR="00713CB4">
              <w:rPr>
                <w:webHidden/>
              </w:rPr>
              <w:t>5</w:t>
            </w:r>
            <w:r w:rsidRPr="0090370C">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7966" w:history="1">
            <w:r w:rsidR="0090370C" w:rsidRPr="0090370C">
              <w:rPr>
                <w:rStyle w:val="Collegamentoipertestuale"/>
              </w:rPr>
              <w:t>Percentuale di accantonamento minimo al FCDE</w:t>
            </w:r>
            <w:r w:rsidR="0090370C" w:rsidRPr="0090370C">
              <w:rPr>
                <w:webHidden/>
              </w:rPr>
              <w:tab/>
            </w:r>
            <w:r w:rsidRPr="0090370C">
              <w:rPr>
                <w:webHidden/>
              </w:rPr>
              <w:fldChar w:fldCharType="begin"/>
            </w:r>
            <w:r w:rsidR="0090370C" w:rsidRPr="0090370C">
              <w:rPr>
                <w:webHidden/>
              </w:rPr>
              <w:instrText xml:space="preserve"> PAGEREF _Toc534027966 \h </w:instrText>
            </w:r>
            <w:r w:rsidRPr="0090370C">
              <w:rPr>
                <w:webHidden/>
              </w:rPr>
            </w:r>
            <w:r w:rsidRPr="0090370C">
              <w:rPr>
                <w:webHidden/>
              </w:rPr>
              <w:fldChar w:fldCharType="separate"/>
            </w:r>
            <w:r w:rsidR="00713CB4">
              <w:rPr>
                <w:webHidden/>
              </w:rPr>
              <w:t>6</w:t>
            </w:r>
            <w:r w:rsidRPr="0090370C">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7967" w:history="1">
            <w:r w:rsidR="0090370C" w:rsidRPr="0090370C">
              <w:rPr>
                <w:rStyle w:val="Collegamentoipertestuale"/>
              </w:rPr>
              <w:t>Limite massimo anticipazioni di tesoreria a 4/12</w:t>
            </w:r>
            <w:r w:rsidR="0090370C" w:rsidRPr="0090370C">
              <w:rPr>
                <w:webHidden/>
              </w:rPr>
              <w:tab/>
            </w:r>
            <w:r w:rsidRPr="0090370C">
              <w:rPr>
                <w:webHidden/>
              </w:rPr>
              <w:fldChar w:fldCharType="begin"/>
            </w:r>
            <w:r w:rsidR="0090370C" w:rsidRPr="0090370C">
              <w:rPr>
                <w:webHidden/>
              </w:rPr>
              <w:instrText xml:space="preserve"> PAGEREF _Toc534027967 \h </w:instrText>
            </w:r>
            <w:r w:rsidRPr="0090370C">
              <w:rPr>
                <w:webHidden/>
              </w:rPr>
            </w:r>
            <w:r w:rsidRPr="0090370C">
              <w:rPr>
                <w:webHidden/>
              </w:rPr>
              <w:fldChar w:fldCharType="separate"/>
            </w:r>
            <w:r w:rsidR="00713CB4">
              <w:rPr>
                <w:webHidden/>
              </w:rPr>
              <w:t>7</w:t>
            </w:r>
            <w:r w:rsidRPr="0090370C">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7968" w:history="1">
            <w:r w:rsidR="0090370C" w:rsidRPr="0090370C">
              <w:rPr>
                <w:rStyle w:val="Collegamentoipertestuale"/>
              </w:rPr>
              <w:t>Fondo di solidarietà comunale (FSC) e percentuali di perequazione</w:t>
            </w:r>
            <w:r w:rsidR="0090370C" w:rsidRPr="0090370C">
              <w:rPr>
                <w:webHidden/>
              </w:rPr>
              <w:tab/>
            </w:r>
            <w:r w:rsidRPr="0090370C">
              <w:rPr>
                <w:webHidden/>
              </w:rPr>
              <w:fldChar w:fldCharType="begin"/>
            </w:r>
            <w:r w:rsidR="0090370C" w:rsidRPr="0090370C">
              <w:rPr>
                <w:webHidden/>
              </w:rPr>
              <w:instrText xml:space="preserve"> PAGEREF _Toc534027968 \h </w:instrText>
            </w:r>
            <w:r w:rsidRPr="0090370C">
              <w:rPr>
                <w:webHidden/>
              </w:rPr>
            </w:r>
            <w:r w:rsidRPr="0090370C">
              <w:rPr>
                <w:webHidden/>
              </w:rPr>
              <w:fldChar w:fldCharType="separate"/>
            </w:r>
            <w:r w:rsidR="00713CB4">
              <w:rPr>
                <w:webHidden/>
              </w:rPr>
              <w:t>7</w:t>
            </w:r>
            <w:r w:rsidRPr="0090370C">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7969" w:history="1">
            <w:r w:rsidR="0090370C" w:rsidRPr="0090370C">
              <w:rPr>
                <w:rStyle w:val="Collegamentoipertestuale"/>
              </w:rPr>
              <w:t>Bando Periferie: ripristino risorse</w:t>
            </w:r>
            <w:r w:rsidR="0090370C" w:rsidRPr="0090370C">
              <w:rPr>
                <w:webHidden/>
              </w:rPr>
              <w:tab/>
            </w:r>
            <w:r w:rsidRPr="0090370C">
              <w:rPr>
                <w:webHidden/>
              </w:rPr>
              <w:fldChar w:fldCharType="begin"/>
            </w:r>
            <w:r w:rsidR="0090370C" w:rsidRPr="0090370C">
              <w:rPr>
                <w:webHidden/>
              </w:rPr>
              <w:instrText xml:space="preserve"> PAGEREF _Toc534027969 \h </w:instrText>
            </w:r>
            <w:r w:rsidRPr="0090370C">
              <w:rPr>
                <w:webHidden/>
              </w:rPr>
            </w:r>
            <w:r w:rsidRPr="0090370C">
              <w:rPr>
                <w:webHidden/>
              </w:rPr>
              <w:fldChar w:fldCharType="separate"/>
            </w:r>
            <w:r w:rsidR="00713CB4">
              <w:rPr>
                <w:webHidden/>
              </w:rPr>
              <w:t>8</w:t>
            </w:r>
            <w:r w:rsidRPr="0090370C">
              <w:rPr>
                <w:webHidden/>
              </w:rPr>
              <w:fldChar w:fldCharType="end"/>
            </w:r>
          </w:hyperlink>
        </w:p>
        <w:p w:rsidR="0090370C" w:rsidRDefault="007132D8" w:rsidP="0090370C">
          <w:pPr>
            <w:pStyle w:val="Sommario1"/>
            <w:spacing w:after="20" w:line="240" w:lineRule="auto"/>
            <w:rPr>
              <w:rFonts w:asciiTheme="minorHAnsi" w:eastAsiaTheme="minorEastAsia" w:hAnsiTheme="minorHAnsi" w:cstheme="minorBidi"/>
              <w:b w:val="0"/>
              <w:szCs w:val="22"/>
              <w:lang w:val="fr-FR" w:eastAsia="fr-FR"/>
            </w:rPr>
          </w:pPr>
          <w:hyperlink w:anchor="_Toc534027970" w:history="1">
            <w:r w:rsidR="0090370C" w:rsidRPr="00BB7FC6">
              <w:rPr>
                <w:rStyle w:val="Collegamentoipertestuale"/>
                <w:rFonts w:ascii="Bookman Old Style" w:eastAsiaTheme="minorHAnsi" w:hAnsi="Bookman Old Style"/>
                <w:lang w:eastAsia="en-US"/>
              </w:rPr>
              <w:t>ALTRE NORME SULLA DISCIPLINA DEI TRIBUTI E SULLE ENTRATE CORRENTI COMUNALI</w:t>
            </w:r>
            <w:r w:rsidR="0090370C">
              <w:rPr>
                <w:webHidden/>
              </w:rPr>
              <w:tab/>
            </w:r>
            <w:r>
              <w:rPr>
                <w:webHidden/>
              </w:rPr>
              <w:fldChar w:fldCharType="begin"/>
            </w:r>
            <w:r w:rsidR="0090370C">
              <w:rPr>
                <w:webHidden/>
              </w:rPr>
              <w:instrText xml:space="preserve"> PAGEREF _Toc534027970 \h </w:instrText>
            </w:r>
            <w:r>
              <w:rPr>
                <w:webHidden/>
              </w:rPr>
            </w:r>
            <w:r>
              <w:rPr>
                <w:webHidden/>
              </w:rPr>
              <w:fldChar w:fldCharType="separate"/>
            </w:r>
            <w:r w:rsidR="00713CB4">
              <w:rPr>
                <w:webHidden/>
              </w:rPr>
              <w:t>8</w:t>
            </w:r>
            <w:r>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7971" w:history="1">
            <w:r w:rsidR="0090370C" w:rsidRPr="0090370C">
              <w:rPr>
                <w:rStyle w:val="Collegamentoipertestuale"/>
              </w:rPr>
              <w:t>Deducibilità dell'IMU sugli immobili strumentali ai fini dell'IRES e dell'IRPEF</w:t>
            </w:r>
            <w:r w:rsidR="0090370C" w:rsidRPr="0090370C">
              <w:rPr>
                <w:webHidden/>
              </w:rPr>
              <w:tab/>
            </w:r>
            <w:r w:rsidRPr="0090370C">
              <w:rPr>
                <w:webHidden/>
              </w:rPr>
              <w:fldChar w:fldCharType="begin"/>
            </w:r>
            <w:r w:rsidR="0090370C" w:rsidRPr="0090370C">
              <w:rPr>
                <w:webHidden/>
              </w:rPr>
              <w:instrText xml:space="preserve"> PAGEREF _Toc534027971 \h </w:instrText>
            </w:r>
            <w:r w:rsidRPr="0090370C">
              <w:rPr>
                <w:webHidden/>
              </w:rPr>
            </w:r>
            <w:r w:rsidRPr="0090370C">
              <w:rPr>
                <w:webHidden/>
              </w:rPr>
              <w:fldChar w:fldCharType="separate"/>
            </w:r>
            <w:r w:rsidR="00713CB4">
              <w:rPr>
                <w:webHidden/>
              </w:rPr>
              <w:t>8</w:t>
            </w:r>
            <w:r w:rsidRPr="0090370C">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7972" w:history="1">
            <w:r w:rsidR="0090370C" w:rsidRPr="0090370C">
              <w:rPr>
                <w:rStyle w:val="Collegamentoipertestuale"/>
              </w:rPr>
              <w:t>Estensione agevolazione comodati ai fini dell’IMU</w:t>
            </w:r>
            <w:r w:rsidR="0090370C" w:rsidRPr="0090370C">
              <w:rPr>
                <w:webHidden/>
              </w:rPr>
              <w:tab/>
            </w:r>
            <w:r w:rsidRPr="0090370C">
              <w:rPr>
                <w:webHidden/>
              </w:rPr>
              <w:fldChar w:fldCharType="begin"/>
            </w:r>
            <w:r w:rsidR="0090370C" w:rsidRPr="0090370C">
              <w:rPr>
                <w:webHidden/>
              </w:rPr>
              <w:instrText xml:space="preserve"> PAGEREF _Toc534027972 \h </w:instrText>
            </w:r>
            <w:r w:rsidRPr="0090370C">
              <w:rPr>
                <w:webHidden/>
              </w:rPr>
            </w:r>
            <w:r w:rsidRPr="0090370C">
              <w:rPr>
                <w:webHidden/>
              </w:rPr>
              <w:fldChar w:fldCharType="separate"/>
            </w:r>
            <w:r w:rsidR="00713CB4">
              <w:rPr>
                <w:webHidden/>
              </w:rPr>
              <w:t>8</w:t>
            </w:r>
            <w:r w:rsidRPr="0090370C">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7973" w:history="1">
            <w:r w:rsidR="0090370C" w:rsidRPr="0090370C">
              <w:rPr>
                <w:rStyle w:val="Collegamentoipertestuale"/>
              </w:rPr>
              <w:t>Incentivi agli uffici tributi</w:t>
            </w:r>
            <w:r w:rsidR="0090370C" w:rsidRPr="0090370C">
              <w:rPr>
                <w:webHidden/>
              </w:rPr>
              <w:tab/>
            </w:r>
            <w:r w:rsidRPr="0090370C">
              <w:rPr>
                <w:webHidden/>
              </w:rPr>
              <w:fldChar w:fldCharType="begin"/>
            </w:r>
            <w:r w:rsidR="0090370C" w:rsidRPr="0090370C">
              <w:rPr>
                <w:webHidden/>
              </w:rPr>
              <w:instrText xml:space="preserve"> PAGEREF _Toc534027973 \h </w:instrText>
            </w:r>
            <w:r w:rsidRPr="0090370C">
              <w:rPr>
                <w:webHidden/>
              </w:rPr>
            </w:r>
            <w:r w:rsidRPr="0090370C">
              <w:rPr>
                <w:webHidden/>
              </w:rPr>
              <w:fldChar w:fldCharType="separate"/>
            </w:r>
            <w:r w:rsidR="00713CB4">
              <w:rPr>
                <w:webHidden/>
              </w:rPr>
              <w:t>8</w:t>
            </w:r>
            <w:r w:rsidRPr="0090370C">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7974" w:history="1">
            <w:r w:rsidR="0090370C" w:rsidRPr="0090370C">
              <w:rPr>
                <w:rStyle w:val="Collegamentoipertestuale"/>
              </w:rPr>
              <w:t>Coefficienti TARI</w:t>
            </w:r>
            <w:r w:rsidR="0090370C" w:rsidRPr="0090370C">
              <w:rPr>
                <w:webHidden/>
              </w:rPr>
              <w:tab/>
            </w:r>
            <w:r w:rsidRPr="0090370C">
              <w:rPr>
                <w:webHidden/>
              </w:rPr>
              <w:fldChar w:fldCharType="begin"/>
            </w:r>
            <w:r w:rsidR="0090370C" w:rsidRPr="0090370C">
              <w:rPr>
                <w:webHidden/>
              </w:rPr>
              <w:instrText xml:space="preserve"> PAGEREF _Toc534027974 \h </w:instrText>
            </w:r>
            <w:r w:rsidRPr="0090370C">
              <w:rPr>
                <w:webHidden/>
              </w:rPr>
            </w:r>
            <w:r w:rsidRPr="0090370C">
              <w:rPr>
                <w:webHidden/>
              </w:rPr>
              <w:fldChar w:fldCharType="separate"/>
            </w:r>
            <w:r w:rsidR="00713CB4">
              <w:rPr>
                <w:webHidden/>
              </w:rPr>
              <w:t>9</w:t>
            </w:r>
            <w:r w:rsidRPr="0090370C">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7975" w:history="1">
            <w:r w:rsidR="0090370C" w:rsidRPr="0090370C">
              <w:rPr>
                <w:rStyle w:val="Collegamentoipertestuale"/>
              </w:rPr>
              <w:t>Fondo “contenzioso enti locali”</w:t>
            </w:r>
            <w:r w:rsidR="0090370C" w:rsidRPr="0090370C">
              <w:rPr>
                <w:webHidden/>
              </w:rPr>
              <w:tab/>
            </w:r>
            <w:r w:rsidRPr="0090370C">
              <w:rPr>
                <w:webHidden/>
              </w:rPr>
              <w:fldChar w:fldCharType="begin"/>
            </w:r>
            <w:r w:rsidR="0090370C" w:rsidRPr="0090370C">
              <w:rPr>
                <w:webHidden/>
              </w:rPr>
              <w:instrText xml:space="preserve"> PAGEREF _Toc534027975 \h </w:instrText>
            </w:r>
            <w:r w:rsidRPr="0090370C">
              <w:rPr>
                <w:webHidden/>
              </w:rPr>
            </w:r>
            <w:r w:rsidRPr="0090370C">
              <w:rPr>
                <w:webHidden/>
              </w:rPr>
              <w:fldChar w:fldCharType="separate"/>
            </w:r>
            <w:r w:rsidR="00713CB4">
              <w:rPr>
                <w:webHidden/>
              </w:rPr>
              <w:t>9</w:t>
            </w:r>
            <w:r w:rsidRPr="0090370C">
              <w:rPr>
                <w:webHidden/>
              </w:rPr>
              <w:fldChar w:fldCharType="end"/>
            </w:r>
          </w:hyperlink>
        </w:p>
        <w:p w:rsidR="0090370C" w:rsidRDefault="007132D8" w:rsidP="0090370C">
          <w:pPr>
            <w:pStyle w:val="Sommario1"/>
            <w:spacing w:after="20" w:line="240" w:lineRule="auto"/>
            <w:rPr>
              <w:rFonts w:asciiTheme="minorHAnsi" w:eastAsiaTheme="minorEastAsia" w:hAnsiTheme="minorHAnsi" w:cstheme="minorBidi"/>
              <w:b w:val="0"/>
              <w:szCs w:val="22"/>
              <w:lang w:val="fr-FR" w:eastAsia="fr-FR"/>
            </w:rPr>
          </w:pPr>
          <w:hyperlink w:anchor="_Toc534027976" w:history="1">
            <w:r w:rsidR="0090370C" w:rsidRPr="00BB7FC6">
              <w:rPr>
                <w:rStyle w:val="Collegamentoipertestuale"/>
                <w:rFonts w:ascii="Bookman Old Style" w:eastAsiaTheme="minorHAnsi" w:hAnsi="Bookman Old Style"/>
                <w:lang w:eastAsia="en-US"/>
              </w:rPr>
              <w:t xml:space="preserve">ABOLIZIONE REGOLE FINANZIARIE AGGIUNTIVE, </w:t>
            </w:r>
            <w:r w:rsidR="0090370C" w:rsidRPr="00BB7FC6">
              <w:rPr>
                <w:rStyle w:val="Collegamentoipertestuale"/>
                <w:rFonts w:ascii="Bookman Old Style" w:eastAsiaTheme="minorHAnsi" w:hAnsi="Bookman Old Style" w:cs="Arial"/>
                <w:lang w:eastAsia="en-US"/>
              </w:rPr>
              <w:t>CONTABILITÀ E SEMPLIFICAZIONI</w:t>
            </w:r>
            <w:r w:rsidR="0090370C">
              <w:rPr>
                <w:webHidden/>
              </w:rPr>
              <w:tab/>
            </w:r>
            <w:r>
              <w:rPr>
                <w:webHidden/>
              </w:rPr>
              <w:fldChar w:fldCharType="begin"/>
            </w:r>
            <w:r w:rsidR="0090370C">
              <w:rPr>
                <w:webHidden/>
              </w:rPr>
              <w:instrText xml:space="preserve"> PAGEREF _Toc534027976 \h </w:instrText>
            </w:r>
            <w:r>
              <w:rPr>
                <w:webHidden/>
              </w:rPr>
            </w:r>
            <w:r>
              <w:rPr>
                <w:webHidden/>
              </w:rPr>
              <w:fldChar w:fldCharType="separate"/>
            </w:r>
            <w:r w:rsidR="00713CB4">
              <w:rPr>
                <w:webHidden/>
              </w:rPr>
              <w:t>9</w:t>
            </w:r>
            <w:r>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7977" w:history="1">
            <w:r w:rsidR="0090370C" w:rsidRPr="0090370C">
              <w:rPr>
                <w:rStyle w:val="Collegamentoipertestuale"/>
              </w:rPr>
              <w:t>Abolizione del saldo di competenza a decorrere dal 2019</w:t>
            </w:r>
            <w:r w:rsidR="0090370C" w:rsidRPr="0090370C">
              <w:rPr>
                <w:webHidden/>
              </w:rPr>
              <w:tab/>
            </w:r>
            <w:r w:rsidRPr="0090370C">
              <w:rPr>
                <w:webHidden/>
              </w:rPr>
              <w:fldChar w:fldCharType="begin"/>
            </w:r>
            <w:r w:rsidR="0090370C" w:rsidRPr="0090370C">
              <w:rPr>
                <w:webHidden/>
              </w:rPr>
              <w:instrText xml:space="preserve"> PAGEREF _Toc534027977 \h </w:instrText>
            </w:r>
            <w:r w:rsidRPr="0090370C">
              <w:rPr>
                <w:webHidden/>
              </w:rPr>
            </w:r>
            <w:r w:rsidRPr="0090370C">
              <w:rPr>
                <w:webHidden/>
              </w:rPr>
              <w:fldChar w:fldCharType="separate"/>
            </w:r>
            <w:r w:rsidR="00713CB4">
              <w:rPr>
                <w:webHidden/>
              </w:rPr>
              <w:t>9</w:t>
            </w:r>
            <w:r w:rsidRPr="0090370C">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7978" w:history="1">
            <w:r w:rsidR="0090370C" w:rsidRPr="0090370C">
              <w:rPr>
                <w:rStyle w:val="Collegamentoipertestuale"/>
              </w:rPr>
              <w:t>Disapplicazione sanzioni per mancato rispetto del saldo finale di competenza in caso di elezioni comunali 2018</w:t>
            </w:r>
            <w:r w:rsidR="0090370C" w:rsidRPr="0090370C">
              <w:rPr>
                <w:webHidden/>
              </w:rPr>
              <w:tab/>
            </w:r>
            <w:r w:rsidRPr="0090370C">
              <w:rPr>
                <w:webHidden/>
              </w:rPr>
              <w:fldChar w:fldCharType="begin"/>
            </w:r>
            <w:r w:rsidR="0090370C" w:rsidRPr="0090370C">
              <w:rPr>
                <w:webHidden/>
              </w:rPr>
              <w:instrText xml:space="preserve"> PAGEREF _Toc534027978 \h </w:instrText>
            </w:r>
            <w:r w:rsidRPr="0090370C">
              <w:rPr>
                <w:webHidden/>
              </w:rPr>
            </w:r>
            <w:r w:rsidRPr="0090370C">
              <w:rPr>
                <w:webHidden/>
              </w:rPr>
              <w:fldChar w:fldCharType="separate"/>
            </w:r>
            <w:r w:rsidR="00713CB4">
              <w:rPr>
                <w:webHidden/>
              </w:rPr>
              <w:t>11</w:t>
            </w:r>
            <w:r w:rsidRPr="0090370C">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7979" w:history="1">
            <w:r w:rsidR="0090370C" w:rsidRPr="0090370C">
              <w:rPr>
                <w:rStyle w:val="Collegamentoipertestuale"/>
              </w:rPr>
              <w:t>Abrogato obbligo del bilancio consolidato per i piccoli comuni</w:t>
            </w:r>
            <w:r w:rsidR="0090370C" w:rsidRPr="0090370C">
              <w:rPr>
                <w:webHidden/>
              </w:rPr>
              <w:tab/>
            </w:r>
            <w:r w:rsidRPr="0090370C">
              <w:rPr>
                <w:webHidden/>
              </w:rPr>
              <w:fldChar w:fldCharType="begin"/>
            </w:r>
            <w:r w:rsidR="0090370C" w:rsidRPr="0090370C">
              <w:rPr>
                <w:webHidden/>
              </w:rPr>
              <w:instrText xml:space="preserve"> PAGEREF _Toc534027979 \h </w:instrText>
            </w:r>
            <w:r w:rsidRPr="0090370C">
              <w:rPr>
                <w:webHidden/>
              </w:rPr>
            </w:r>
            <w:r w:rsidRPr="0090370C">
              <w:rPr>
                <w:webHidden/>
              </w:rPr>
              <w:fldChar w:fldCharType="separate"/>
            </w:r>
            <w:r w:rsidR="00713CB4">
              <w:rPr>
                <w:webHidden/>
              </w:rPr>
              <w:t>11</w:t>
            </w:r>
            <w:r w:rsidRPr="0090370C">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7980" w:history="1">
            <w:r w:rsidR="0090370C" w:rsidRPr="0090370C">
              <w:rPr>
                <w:rStyle w:val="Collegamentoipertestuale"/>
              </w:rPr>
              <w:t>Utilizzo del risultato di amministrazione per gli enti in disavanzo</w:t>
            </w:r>
            <w:r w:rsidR="0090370C" w:rsidRPr="0090370C">
              <w:rPr>
                <w:webHidden/>
              </w:rPr>
              <w:tab/>
            </w:r>
            <w:r w:rsidRPr="0090370C">
              <w:rPr>
                <w:webHidden/>
              </w:rPr>
              <w:fldChar w:fldCharType="begin"/>
            </w:r>
            <w:r w:rsidR="0090370C" w:rsidRPr="0090370C">
              <w:rPr>
                <w:webHidden/>
              </w:rPr>
              <w:instrText xml:space="preserve"> PAGEREF _Toc534027980 \h </w:instrText>
            </w:r>
            <w:r w:rsidRPr="0090370C">
              <w:rPr>
                <w:webHidden/>
              </w:rPr>
            </w:r>
            <w:r w:rsidRPr="0090370C">
              <w:rPr>
                <w:webHidden/>
              </w:rPr>
              <w:fldChar w:fldCharType="separate"/>
            </w:r>
            <w:r w:rsidR="00713CB4">
              <w:rPr>
                <w:webHidden/>
              </w:rPr>
              <w:t>11</w:t>
            </w:r>
            <w:r w:rsidRPr="0090370C">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7981" w:history="1">
            <w:r w:rsidR="0090370C" w:rsidRPr="0090370C">
              <w:rPr>
                <w:rStyle w:val="Collegamentoipertestuale"/>
              </w:rPr>
              <w:t>Semplificazione adempimenti contabili</w:t>
            </w:r>
            <w:r w:rsidR="0090370C" w:rsidRPr="0090370C">
              <w:rPr>
                <w:webHidden/>
              </w:rPr>
              <w:tab/>
            </w:r>
            <w:r w:rsidRPr="0090370C">
              <w:rPr>
                <w:webHidden/>
              </w:rPr>
              <w:fldChar w:fldCharType="begin"/>
            </w:r>
            <w:r w:rsidR="0090370C" w:rsidRPr="0090370C">
              <w:rPr>
                <w:webHidden/>
              </w:rPr>
              <w:instrText xml:space="preserve"> PAGEREF _Toc534027981 \h </w:instrText>
            </w:r>
            <w:r w:rsidRPr="0090370C">
              <w:rPr>
                <w:webHidden/>
              </w:rPr>
            </w:r>
            <w:r w:rsidRPr="0090370C">
              <w:rPr>
                <w:webHidden/>
              </w:rPr>
              <w:fldChar w:fldCharType="separate"/>
            </w:r>
            <w:r w:rsidR="00713CB4">
              <w:rPr>
                <w:webHidden/>
              </w:rPr>
              <w:t>13</w:t>
            </w:r>
            <w:r w:rsidRPr="0090370C">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7982" w:history="1">
            <w:r w:rsidR="0090370C" w:rsidRPr="0090370C">
              <w:rPr>
                <w:rStyle w:val="Collegamentoipertestuale"/>
              </w:rPr>
              <w:t>Norme su dissesto e pre-dissesto</w:t>
            </w:r>
            <w:r w:rsidR="0090370C" w:rsidRPr="0090370C">
              <w:rPr>
                <w:webHidden/>
              </w:rPr>
              <w:tab/>
            </w:r>
            <w:r w:rsidRPr="0090370C">
              <w:rPr>
                <w:webHidden/>
              </w:rPr>
              <w:fldChar w:fldCharType="begin"/>
            </w:r>
            <w:r w:rsidR="0090370C" w:rsidRPr="0090370C">
              <w:rPr>
                <w:webHidden/>
              </w:rPr>
              <w:instrText xml:space="preserve"> PAGEREF _Toc534027982 \h </w:instrText>
            </w:r>
            <w:r w:rsidRPr="0090370C">
              <w:rPr>
                <w:webHidden/>
              </w:rPr>
            </w:r>
            <w:r w:rsidRPr="0090370C">
              <w:rPr>
                <w:webHidden/>
              </w:rPr>
              <w:fldChar w:fldCharType="separate"/>
            </w:r>
            <w:r w:rsidR="00713CB4">
              <w:rPr>
                <w:webHidden/>
              </w:rPr>
              <w:t>14</w:t>
            </w:r>
            <w:r w:rsidRPr="0090370C">
              <w:rPr>
                <w:webHidden/>
              </w:rPr>
              <w:fldChar w:fldCharType="end"/>
            </w:r>
          </w:hyperlink>
        </w:p>
        <w:p w:rsidR="0090370C" w:rsidRDefault="007132D8" w:rsidP="0090370C">
          <w:pPr>
            <w:pStyle w:val="Sommario1"/>
            <w:spacing w:after="20" w:line="240" w:lineRule="auto"/>
            <w:rPr>
              <w:rFonts w:asciiTheme="minorHAnsi" w:eastAsiaTheme="minorEastAsia" w:hAnsiTheme="minorHAnsi" w:cstheme="minorBidi"/>
              <w:b w:val="0"/>
              <w:szCs w:val="22"/>
              <w:lang w:val="fr-FR" w:eastAsia="fr-FR"/>
            </w:rPr>
          </w:pPr>
          <w:hyperlink w:anchor="_Toc534027983" w:history="1">
            <w:r w:rsidR="0090370C" w:rsidRPr="00BB7FC6">
              <w:rPr>
                <w:rStyle w:val="Collegamentoipertestuale"/>
                <w:rFonts w:ascii="Bookman Old Style" w:eastAsiaTheme="minorHAnsi" w:hAnsi="Bookman Old Style"/>
                <w:lang w:eastAsia="en-US"/>
              </w:rPr>
              <w:t>RISORSE E REGOLE PER INVESTIMENTI</w:t>
            </w:r>
            <w:r w:rsidR="0090370C">
              <w:rPr>
                <w:webHidden/>
              </w:rPr>
              <w:tab/>
            </w:r>
            <w:r>
              <w:rPr>
                <w:webHidden/>
              </w:rPr>
              <w:fldChar w:fldCharType="begin"/>
            </w:r>
            <w:r w:rsidR="0090370C">
              <w:rPr>
                <w:webHidden/>
              </w:rPr>
              <w:instrText xml:space="preserve"> PAGEREF _Toc534027983 \h </w:instrText>
            </w:r>
            <w:r>
              <w:rPr>
                <w:webHidden/>
              </w:rPr>
            </w:r>
            <w:r>
              <w:rPr>
                <w:webHidden/>
              </w:rPr>
              <w:fldChar w:fldCharType="separate"/>
            </w:r>
            <w:r w:rsidR="00713CB4">
              <w:rPr>
                <w:webHidden/>
              </w:rPr>
              <w:t>15</w:t>
            </w:r>
            <w:r>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7984" w:history="1">
            <w:r w:rsidR="0090370C" w:rsidRPr="0090370C">
              <w:rPr>
                <w:rStyle w:val="Collegamentoipertestuale"/>
              </w:rPr>
              <w:t>Fondo pluriennale vincolato (FPV) per i lavori pubblici (commi 909-911)</w:t>
            </w:r>
            <w:r w:rsidR="0090370C" w:rsidRPr="0090370C">
              <w:rPr>
                <w:webHidden/>
              </w:rPr>
              <w:tab/>
            </w:r>
            <w:r w:rsidRPr="0090370C">
              <w:rPr>
                <w:webHidden/>
              </w:rPr>
              <w:fldChar w:fldCharType="begin"/>
            </w:r>
            <w:r w:rsidR="0090370C" w:rsidRPr="0090370C">
              <w:rPr>
                <w:webHidden/>
              </w:rPr>
              <w:instrText xml:space="preserve"> PAGEREF _Toc534027984 \h </w:instrText>
            </w:r>
            <w:r w:rsidRPr="0090370C">
              <w:rPr>
                <w:webHidden/>
              </w:rPr>
            </w:r>
            <w:r w:rsidRPr="0090370C">
              <w:rPr>
                <w:webHidden/>
              </w:rPr>
              <w:fldChar w:fldCharType="separate"/>
            </w:r>
            <w:r w:rsidR="00713CB4">
              <w:rPr>
                <w:webHidden/>
              </w:rPr>
              <w:t>15</w:t>
            </w:r>
            <w:r w:rsidRPr="0090370C">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7985" w:history="1">
            <w:r w:rsidR="0090370C" w:rsidRPr="0090370C">
              <w:rPr>
                <w:rStyle w:val="Collegamentoipertestuale"/>
              </w:rPr>
              <w:t>Modifica importi affidamenti sotto soglia</w:t>
            </w:r>
            <w:r w:rsidR="0090370C" w:rsidRPr="0090370C">
              <w:rPr>
                <w:webHidden/>
              </w:rPr>
              <w:tab/>
            </w:r>
            <w:r w:rsidRPr="0090370C">
              <w:rPr>
                <w:webHidden/>
              </w:rPr>
              <w:fldChar w:fldCharType="begin"/>
            </w:r>
            <w:r w:rsidR="0090370C" w:rsidRPr="0090370C">
              <w:rPr>
                <w:webHidden/>
              </w:rPr>
              <w:instrText xml:space="preserve"> PAGEREF _Toc534027985 \h </w:instrText>
            </w:r>
            <w:r w:rsidRPr="0090370C">
              <w:rPr>
                <w:webHidden/>
              </w:rPr>
            </w:r>
            <w:r w:rsidRPr="0090370C">
              <w:rPr>
                <w:webHidden/>
              </w:rPr>
              <w:fldChar w:fldCharType="separate"/>
            </w:r>
            <w:r w:rsidR="00713CB4">
              <w:rPr>
                <w:webHidden/>
              </w:rPr>
              <w:t>16</w:t>
            </w:r>
            <w:r w:rsidRPr="0090370C">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7986" w:history="1">
            <w:r w:rsidR="0090370C" w:rsidRPr="0090370C">
              <w:rPr>
                <w:rStyle w:val="Collegamentoipertestuale"/>
              </w:rPr>
              <w:t>Fondo investimenti amministrazioni centrali</w:t>
            </w:r>
            <w:r w:rsidR="0090370C" w:rsidRPr="0090370C">
              <w:rPr>
                <w:webHidden/>
              </w:rPr>
              <w:tab/>
            </w:r>
            <w:r w:rsidRPr="0090370C">
              <w:rPr>
                <w:webHidden/>
              </w:rPr>
              <w:fldChar w:fldCharType="begin"/>
            </w:r>
            <w:r w:rsidR="0090370C" w:rsidRPr="0090370C">
              <w:rPr>
                <w:webHidden/>
              </w:rPr>
              <w:instrText xml:space="preserve"> PAGEREF _Toc534027986 \h </w:instrText>
            </w:r>
            <w:r w:rsidRPr="0090370C">
              <w:rPr>
                <w:webHidden/>
              </w:rPr>
            </w:r>
            <w:r w:rsidRPr="0090370C">
              <w:rPr>
                <w:webHidden/>
              </w:rPr>
              <w:fldChar w:fldCharType="separate"/>
            </w:r>
            <w:r w:rsidR="00713CB4">
              <w:rPr>
                <w:webHidden/>
              </w:rPr>
              <w:t>16</w:t>
            </w:r>
            <w:r w:rsidRPr="0090370C">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7987" w:history="1">
            <w:r w:rsidR="0090370C" w:rsidRPr="0090370C">
              <w:rPr>
                <w:rStyle w:val="Collegamentoipertestuale"/>
              </w:rPr>
              <w:t>Fondo per gli investimenti degli enti territoriali</w:t>
            </w:r>
            <w:r w:rsidR="0090370C" w:rsidRPr="0090370C">
              <w:rPr>
                <w:webHidden/>
              </w:rPr>
              <w:tab/>
            </w:r>
            <w:r w:rsidRPr="0090370C">
              <w:rPr>
                <w:webHidden/>
              </w:rPr>
              <w:fldChar w:fldCharType="begin"/>
            </w:r>
            <w:r w:rsidR="0090370C" w:rsidRPr="0090370C">
              <w:rPr>
                <w:webHidden/>
              </w:rPr>
              <w:instrText xml:space="preserve"> PAGEREF _Toc534027987 \h </w:instrText>
            </w:r>
            <w:r w:rsidRPr="0090370C">
              <w:rPr>
                <w:webHidden/>
              </w:rPr>
            </w:r>
            <w:r w:rsidRPr="0090370C">
              <w:rPr>
                <w:webHidden/>
              </w:rPr>
              <w:fldChar w:fldCharType="separate"/>
            </w:r>
            <w:r w:rsidR="00713CB4">
              <w:rPr>
                <w:webHidden/>
              </w:rPr>
              <w:t>16</w:t>
            </w:r>
            <w:r w:rsidRPr="0090370C">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7988" w:history="1">
            <w:r w:rsidR="0090370C" w:rsidRPr="0090370C">
              <w:rPr>
                <w:rStyle w:val="Collegamentoipertestuale"/>
              </w:rPr>
              <w:t>Fondi regionali e finanziamenti “indiretti” agli enti locali</w:t>
            </w:r>
            <w:r w:rsidR="0090370C" w:rsidRPr="0090370C">
              <w:rPr>
                <w:webHidden/>
              </w:rPr>
              <w:tab/>
            </w:r>
            <w:r w:rsidRPr="0090370C">
              <w:rPr>
                <w:webHidden/>
              </w:rPr>
              <w:fldChar w:fldCharType="begin"/>
            </w:r>
            <w:r w:rsidR="0090370C" w:rsidRPr="0090370C">
              <w:rPr>
                <w:webHidden/>
              </w:rPr>
              <w:instrText xml:space="preserve"> PAGEREF _Toc534027988 \h </w:instrText>
            </w:r>
            <w:r w:rsidRPr="0090370C">
              <w:rPr>
                <w:webHidden/>
              </w:rPr>
            </w:r>
            <w:r w:rsidRPr="0090370C">
              <w:rPr>
                <w:webHidden/>
              </w:rPr>
              <w:fldChar w:fldCharType="separate"/>
            </w:r>
            <w:r w:rsidR="00713CB4">
              <w:rPr>
                <w:webHidden/>
              </w:rPr>
              <w:t>17</w:t>
            </w:r>
            <w:r w:rsidRPr="0090370C">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7989" w:history="1">
            <w:r w:rsidR="0090370C" w:rsidRPr="0090370C">
              <w:rPr>
                <w:rStyle w:val="Collegamentoipertestuale"/>
              </w:rPr>
              <w:t>Contributo 2019 per investimenti comunali di messa in sicurezza di scuole, strade, edifici pubblici.</w:t>
            </w:r>
            <w:r w:rsidR="0090370C" w:rsidRPr="0090370C">
              <w:rPr>
                <w:webHidden/>
              </w:rPr>
              <w:tab/>
            </w:r>
            <w:r w:rsidRPr="0090370C">
              <w:rPr>
                <w:webHidden/>
              </w:rPr>
              <w:fldChar w:fldCharType="begin"/>
            </w:r>
            <w:r w:rsidR="0090370C" w:rsidRPr="0090370C">
              <w:rPr>
                <w:webHidden/>
              </w:rPr>
              <w:instrText xml:space="preserve"> PAGEREF _Toc534027989 \h </w:instrText>
            </w:r>
            <w:r w:rsidRPr="0090370C">
              <w:rPr>
                <w:webHidden/>
              </w:rPr>
            </w:r>
            <w:r w:rsidRPr="0090370C">
              <w:rPr>
                <w:webHidden/>
              </w:rPr>
              <w:fldChar w:fldCharType="separate"/>
            </w:r>
            <w:r w:rsidR="00713CB4">
              <w:rPr>
                <w:webHidden/>
              </w:rPr>
              <w:t>17</w:t>
            </w:r>
            <w:r w:rsidRPr="0090370C">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7990" w:history="1">
            <w:r w:rsidR="0090370C" w:rsidRPr="0090370C">
              <w:rPr>
                <w:rStyle w:val="Collegamentoipertestuale"/>
              </w:rPr>
              <w:t>Contributi dal 2021 per investimenti di messa in sicurezza edifici e territorio dei comuni</w:t>
            </w:r>
            <w:r w:rsidR="0090370C" w:rsidRPr="0090370C">
              <w:rPr>
                <w:webHidden/>
              </w:rPr>
              <w:tab/>
            </w:r>
            <w:r w:rsidRPr="0090370C">
              <w:rPr>
                <w:webHidden/>
              </w:rPr>
              <w:fldChar w:fldCharType="begin"/>
            </w:r>
            <w:r w:rsidR="0090370C" w:rsidRPr="0090370C">
              <w:rPr>
                <w:webHidden/>
              </w:rPr>
              <w:instrText xml:space="preserve"> PAGEREF _Toc534027990 \h </w:instrText>
            </w:r>
            <w:r w:rsidRPr="0090370C">
              <w:rPr>
                <w:webHidden/>
              </w:rPr>
            </w:r>
            <w:r w:rsidRPr="0090370C">
              <w:rPr>
                <w:webHidden/>
              </w:rPr>
              <w:fldChar w:fldCharType="separate"/>
            </w:r>
            <w:r w:rsidR="00713CB4">
              <w:rPr>
                <w:webHidden/>
              </w:rPr>
              <w:t>18</w:t>
            </w:r>
            <w:r w:rsidRPr="0090370C">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7991" w:history="1">
            <w:r w:rsidR="0090370C" w:rsidRPr="0090370C">
              <w:rPr>
                <w:rStyle w:val="Collegamentoipertestuale"/>
              </w:rPr>
              <w:t>Fondo mutui finalità sportive</w:t>
            </w:r>
            <w:r w:rsidR="0090370C" w:rsidRPr="0090370C">
              <w:rPr>
                <w:webHidden/>
              </w:rPr>
              <w:tab/>
            </w:r>
            <w:r w:rsidRPr="0090370C">
              <w:rPr>
                <w:webHidden/>
              </w:rPr>
              <w:fldChar w:fldCharType="begin"/>
            </w:r>
            <w:r w:rsidR="0090370C" w:rsidRPr="0090370C">
              <w:rPr>
                <w:webHidden/>
              </w:rPr>
              <w:instrText xml:space="preserve"> PAGEREF _Toc534027991 \h </w:instrText>
            </w:r>
            <w:r w:rsidRPr="0090370C">
              <w:rPr>
                <w:webHidden/>
              </w:rPr>
            </w:r>
            <w:r w:rsidRPr="0090370C">
              <w:rPr>
                <w:webHidden/>
              </w:rPr>
              <w:fldChar w:fldCharType="separate"/>
            </w:r>
            <w:r w:rsidR="00713CB4">
              <w:rPr>
                <w:webHidden/>
              </w:rPr>
              <w:t>19</w:t>
            </w:r>
            <w:r w:rsidRPr="0090370C">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7992" w:history="1">
            <w:r w:rsidR="0090370C" w:rsidRPr="0090370C">
              <w:rPr>
                <w:rStyle w:val="Collegamentoipertestuale"/>
              </w:rPr>
              <w:t>Fondo bacino del Po per Città metropolitane, Province e ANAS</w:t>
            </w:r>
            <w:r w:rsidR="0090370C" w:rsidRPr="0090370C">
              <w:rPr>
                <w:webHidden/>
              </w:rPr>
              <w:tab/>
            </w:r>
            <w:r w:rsidRPr="0090370C">
              <w:rPr>
                <w:webHidden/>
              </w:rPr>
              <w:fldChar w:fldCharType="begin"/>
            </w:r>
            <w:r w:rsidR="0090370C" w:rsidRPr="0090370C">
              <w:rPr>
                <w:webHidden/>
              </w:rPr>
              <w:instrText xml:space="preserve"> PAGEREF _Toc534027992 \h </w:instrText>
            </w:r>
            <w:r w:rsidRPr="0090370C">
              <w:rPr>
                <w:webHidden/>
              </w:rPr>
            </w:r>
            <w:r w:rsidRPr="0090370C">
              <w:rPr>
                <w:webHidden/>
              </w:rPr>
              <w:fldChar w:fldCharType="separate"/>
            </w:r>
            <w:r w:rsidR="00713CB4">
              <w:rPr>
                <w:webHidden/>
              </w:rPr>
              <w:t>19</w:t>
            </w:r>
            <w:r w:rsidRPr="0090370C">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7993" w:history="1">
            <w:r w:rsidR="0090370C" w:rsidRPr="0090370C">
              <w:rPr>
                <w:rStyle w:val="Collegamentoipertestuale"/>
              </w:rPr>
              <w:t>Struttura per la progettazione</w:t>
            </w:r>
            <w:r w:rsidR="0090370C" w:rsidRPr="0090370C">
              <w:rPr>
                <w:webHidden/>
              </w:rPr>
              <w:tab/>
            </w:r>
            <w:r w:rsidRPr="0090370C">
              <w:rPr>
                <w:webHidden/>
              </w:rPr>
              <w:fldChar w:fldCharType="begin"/>
            </w:r>
            <w:r w:rsidR="0090370C" w:rsidRPr="0090370C">
              <w:rPr>
                <w:webHidden/>
              </w:rPr>
              <w:instrText xml:space="preserve"> PAGEREF _Toc534027993 \h </w:instrText>
            </w:r>
            <w:r w:rsidRPr="0090370C">
              <w:rPr>
                <w:webHidden/>
              </w:rPr>
            </w:r>
            <w:r w:rsidRPr="0090370C">
              <w:rPr>
                <w:webHidden/>
              </w:rPr>
              <w:fldChar w:fldCharType="separate"/>
            </w:r>
            <w:r w:rsidR="00713CB4">
              <w:rPr>
                <w:webHidden/>
              </w:rPr>
              <w:t>19</w:t>
            </w:r>
            <w:r w:rsidRPr="0090370C">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7994" w:history="1">
            <w:r w:rsidR="0090370C" w:rsidRPr="0090370C">
              <w:rPr>
                <w:rStyle w:val="Collegamentoipertestuale"/>
              </w:rPr>
              <w:t>Modifiche al fondo rotativo CDP per la progettualità (commi 171-175)</w:t>
            </w:r>
            <w:r w:rsidR="0090370C" w:rsidRPr="0090370C">
              <w:rPr>
                <w:webHidden/>
              </w:rPr>
              <w:tab/>
            </w:r>
            <w:r w:rsidRPr="0090370C">
              <w:rPr>
                <w:webHidden/>
              </w:rPr>
              <w:fldChar w:fldCharType="begin"/>
            </w:r>
            <w:r w:rsidR="0090370C" w:rsidRPr="0090370C">
              <w:rPr>
                <w:webHidden/>
              </w:rPr>
              <w:instrText xml:space="preserve"> PAGEREF _Toc534027994 \h </w:instrText>
            </w:r>
            <w:r w:rsidRPr="0090370C">
              <w:rPr>
                <w:webHidden/>
              </w:rPr>
            </w:r>
            <w:r w:rsidRPr="0090370C">
              <w:rPr>
                <w:webHidden/>
              </w:rPr>
              <w:fldChar w:fldCharType="separate"/>
            </w:r>
            <w:r w:rsidR="00713CB4">
              <w:rPr>
                <w:webHidden/>
              </w:rPr>
              <w:t>19</w:t>
            </w:r>
            <w:r w:rsidRPr="0090370C">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7995" w:history="1">
            <w:r w:rsidR="0090370C" w:rsidRPr="0090370C">
              <w:rPr>
                <w:rStyle w:val="Collegamentoipertestuale"/>
              </w:rPr>
              <w:t>INVESTITALIA</w:t>
            </w:r>
            <w:r w:rsidR="0090370C" w:rsidRPr="0090370C">
              <w:rPr>
                <w:webHidden/>
              </w:rPr>
              <w:tab/>
            </w:r>
            <w:r w:rsidRPr="0090370C">
              <w:rPr>
                <w:webHidden/>
              </w:rPr>
              <w:fldChar w:fldCharType="begin"/>
            </w:r>
            <w:r w:rsidR="0090370C" w:rsidRPr="0090370C">
              <w:rPr>
                <w:webHidden/>
              </w:rPr>
              <w:instrText xml:space="preserve"> PAGEREF _Toc534027995 \h </w:instrText>
            </w:r>
            <w:r w:rsidRPr="0090370C">
              <w:rPr>
                <w:webHidden/>
              </w:rPr>
            </w:r>
            <w:r w:rsidRPr="0090370C">
              <w:rPr>
                <w:webHidden/>
              </w:rPr>
              <w:fldChar w:fldCharType="separate"/>
            </w:r>
            <w:r w:rsidR="00713CB4">
              <w:rPr>
                <w:webHidden/>
              </w:rPr>
              <w:t>20</w:t>
            </w:r>
            <w:r w:rsidRPr="0090370C">
              <w:rPr>
                <w:webHidden/>
              </w:rPr>
              <w:fldChar w:fldCharType="end"/>
            </w:r>
          </w:hyperlink>
        </w:p>
        <w:p w:rsidR="0090370C" w:rsidRDefault="007132D8" w:rsidP="0090370C">
          <w:pPr>
            <w:pStyle w:val="Sommario1"/>
            <w:spacing w:after="20" w:line="240" w:lineRule="auto"/>
            <w:rPr>
              <w:rFonts w:asciiTheme="minorHAnsi" w:eastAsiaTheme="minorEastAsia" w:hAnsiTheme="minorHAnsi" w:cstheme="minorBidi"/>
              <w:b w:val="0"/>
              <w:szCs w:val="22"/>
              <w:lang w:val="fr-FR" w:eastAsia="fr-FR"/>
            </w:rPr>
          </w:pPr>
          <w:hyperlink w:anchor="_Toc534027996" w:history="1">
            <w:r w:rsidR="0090370C" w:rsidRPr="00BB7FC6">
              <w:rPr>
                <w:rStyle w:val="Collegamentoipertestuale"/>
                <w:rFonts w:ascii="Bookman Old Style" w:eastAsiaTheme="minorHAnsi" w:hAnsi="Bookman Old Style"/>
                <w:lang w:eastAsia="en-US"/>
              </w:rPr>
              <w:t>ALTRE NORME FINANZIARIE</w:t>
            </w:r>
            <w:r w:rsidR="0090370C">
              <w:rPr>
                <w:webHidden/>
              </w:rPr>
              <w:tab/>
            </w:r>
            <w:r>
              <w:rPr>
                <w:webHidden/>
              </w:rPr>
              <w:fldChar w:fldCharType="begin"/>
            </w:r>
            <w:r w:rsidR="0090370C">
              <w:rPr>
                <w:webHidden/>
              </w:rPr>
              <w:instrText xml:space="preserve"> PAGEREF _Toc534027996 \h </w:instrText>
            </w:r>
            <w:r>
              <w:rPr>
                <w:webHidden/>
              </w:rPr>
            </w:r>
            <w:r>
              <w:rPr>
                <w:webHidden/>
              </w:rPr>
              <w:fldChar w:fldCharType="separate"/>
            </w:r>
            <w:r w:rsidR="00713CB4">
              <w:rPr>
                <w:webHidden/>
              </w:rPr>
              <w:t>20</w:t>
            </w:r>
            <w:r>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7997" w:history="1">
            <w:r w:rsidR="0090370C" w:rsidRPr="0090370C">
              <w:rPr>
                <w:rStyle w:val="Collegamentoipertestuale"/>
              </w:rPr>
              <w:t>Rinegoziazione prestiti gestiti da CDP per conto del Mef</w:t>
            </w:r>
            <w:r w:rsidR="0090370C" w:rsidRPr="0090370C">
              <w:rPr>
                <w:webHidden/>
              </w:rPr>
              <w:tab/>
            </w:r>
            <w:r w:rsidRPr="0090370C">
              <w:rPr>
                <w:webHidden/>
              </w:rPr>
              <w:fldChar w:fldCharType="begin"/>
            </w:r>
            <w:r w:rsidR="0090370C" w:rsidRPr="0090370C">
              <w:rPr>
                <w:webHidden/>
              </w:rPr>
              <w:instrText xml:space="preserve"> PAGEREF _Toc534027997 \h </w:instrText>
            </w:r>
            <w:r w:rsidRPr="0090370C">
              <w:rPr>
                <w:webHidden/>
              </w:rPr>
            </w:r>
            <w:r w:rsidRPr="0090370C">
              <w:rPr>
                <w:webHidden/>
              </w:rPr>
              <w:fldChar w:fldCharType="separate"/>
            </w:r>
            <w:r w:rsidR="00713CB4">
              <w:rPr>
                <w:webHidden/>
              </w:rPr>
              <w:t>20</w:t>
            </w:r>
            <w:r w:rsidRPr="0090370C">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7998" w:history="1">
            <w:r w:rsidR="0090370C" w:rsidRPr="0090370C">
              <w:rPr>
                <w:rStyle w:val="Collegamentoipertestuale"/>
              </w:rPr>
              <w:t>Anticipazioni di liquidità per pagamenti debiti pregressi</w:t>
            </w:r>
            <w:r w:rsidR="0090370C" w:rsidRPr="0090370C">
              <w:rPr>
                <w:webHidden/>
              </w:rPr>
              <w:tab/>
            </w:r>
            <w:r w:rsidRPr="0090370C">
              <w:rPr>
                <w:webHidden/>
              </w:rPr>
              <w:fldChar w:fldCharType="begin"/>
            </w:r>
            <w:r w:rsidR="0090370C" w:rsidRPr="0090370C">
              <w:rPr>
                <w:webHidden/>
              </w:rPr>
              <w:instrText xml:space="preserve"> PAGEREF _Toc534027998 \h </w:instrText>
            </w:r>
            <w:r w:rsidRPr="0090370C">
              <w:rPr>
                <w:webHidden/>
              </w:rPr>
            </w:r>
            <w:r w:rsidRPr="0090370C">
              <w:rPr>
                <w:webHidden/>
              </w:rPr>
              <w:fldChar w:fldCharType="separate"/>
            </w:r>
            <w:r w:rsidR="00713CB4">
              <w:rPr>
                <w:webHidden/>
              </w:rPr>
              <w:t>21</w:t>
            </w:r>
            <w:r w:rsidRPr="0090370C">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7999" w:history="1">
            <w:r w:rsidR="0090370C" w:rsidRPr="0090370C">
              <w:rPr>
                <w:rStyle w:val="Collegamentoipertestuale"/>
              </w:rPr>
              <w:t>Sanzioni per ritardi persistenti nei pagamenti</w:t>
            </w:r>
            <w:r w:rsidR="0090370C" w:rsidRPr="0090370C">
              <w:rPr>
                <w:webHidden/>
              </w:rPr>
              <w:tab/>
            </w:r>
            <w:r w:rsidRPr="0090370C">
              <w:rPr>
                <w:webHidden/>
              </w:rPr>
              <w:fldChar w:fldCharType="begin"/>
            </w:r>
            <w:r w:rsidR="0090370C" w:rsidRPr="0090370C">
              <w:rPr>
                <w:webHidden/>
              </w:rPr>
              <w:instrText xml:space="preserve"> PAGEREF _Toc534027999 \h </w:instrText>
            </w:r>
            <w:r w:rsidRPr="0090370C">
              <w:rPr>
                <w:webHidden/>
              </w:rPr>
            </w:r>
            <w:r w:rsidRPr="0090370C">
              <w:rPr>
                <w:webHidden/>
              </w:rPr>
              <w:fldChar w:fldCharType="separate"/>
            </w:r>
            <w:r w:rsidR="00713CB4">
              <w:rPr>
                <w:webHidden/>
              </w:rPr>
              <w:t>22</w:t>
            </w:r>
            <w:r w:rsidRPr="0090370C">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8000" w:history="1">
            <w:r w:rsidR="0090370C" w:rsidRPr="0090370C">
              <w:rPr>
                <w:rStyle w:val="Collegamentoipertestuale"/>
              </w:rPr>
              <w:t>Amministrazioni pubbliche: facoltà di affidamento diretto del servizio di tesoreria a poste italiane</w:t>
            </w:r>
            <w:r w:rsidR="0090370C" w:rsidRPr="0090370C">
              <w:rPr>
                <w:webHidden/>
              </w:rPr>
              <w:tab/>
            </w:r>
            <w:r w:rsidRPr="0090370C">
              <w:rPr>
                <w:webHidden/>
              </w:rPr>
              <w:fldChar w:fldCharType="begin"/>
            </w:r>
            <w:r w:rsidR="0090370C" w:rsidRPr="0090370C">
              <w:rPr>
                <w:webHidden/>
              </w:rPr>
              <w:instrText xml:space="preserve"> PAGEREF _Toc534028000 \h </w:instrText>
            </w:r>
            <w:r w:rsidRPr="0090370C">
              <w:rPr>
                <w:webHidden/>
              </w:rPr>
            </w:r>
            <w:r w:rsidRPr="0090370C">
              <w:rPr>
                <w:webHidden/>
              </w:rPr>
              <w:fldChar w:fldCharType="separate"/>
            </w:r>
            <w:r w:rsidR="00713CB4">
              <w:rPr>
                <w:webHidden/>
              </w:rPr>
              <w:t>23</w:t>
            </w:r>
            <w:r w:rsidRPr="0090370C">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8001" w:history="1">
            <w:r w:rsidR="0090370C" w:rsidRPr="0090370C">
              <w:rPr>
                <w:rStyle w:val="Collegamentoipertestuale"/>
              </w:rPr>
              <w:t>Erogazioni liberali per interventi su edifici e terreni pubblici</w:t>
            </w:r>
            <w:r w:rsidR="0090370C" w:rsidRPr="0090370C">
              <w:rPr>
                <w:webHidden/>
              </w:rPr>
              <w:tab/>
            </w:r>
            <w:r w:rsidRPr="0090370C">
              <w:rPr>
                <w:webHidden/>
              </w:rPr>
              <w:fldChar w:fldCharType="begin"/>
            </w:r>
            <w:r w:rsidR="0090370C" w:rsidRPr="0090370C">
              <w:rPr>
                <w:webHidden/>
              </w:rPr>
              <w:instrText xml:space="preserve"> PAGEREF _Toc534028001 \h </w:instrText>
            </w:r>
            <w:r w:rsidRPr="0090370C">
              <w:rPr>
                <w:webHidden/>
              </w:rPr>
            </w:r>
            <w:r w:rsidRPr="0090370C">
              <w:rPr>
                <w:webHidden/>
              </w:rPr>
              <w:fldChar w:fldCharType="separate"/>
            </w:r>
            <w:r w:rsidR="00713CB4">
              <w:rPr>
                <w:webHidden/>
              </w:rPr>
              <w:t>24</w:t>
            </w:r>
            <w:r w:rsidRPr="0090370C">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8002" w:history="1">
            <w:r w:rsidR="0090370C" w:rsidRPr="0090370C">
              <w:rPr>
                <w:rStyle w:val="Collegamentoipertestuale"/>
              </w:rPr>
              <w:t>Fondo “Sport e periferie”</w:t>
            </w:r>
            <w:r w:rsidR="0090370C" w:rsidRPr="0090370C">
              <w:rPr>
                <w:webHidden/>
              </w:rPr>
              <w:tab/>
            </w:r>
            <w:r w:rsidRPr="0090370C">
              <w:rPr>
                <w:webHidden/>
              </w:rPr>
              <w:fldChar w:fldCharType="begin"/>
            </w:r>
            <w:r w:rsidR="0090370C" w:rsidRPr="0090370C">
              <w:rPr>
                <w:webHidden/>
              </w:rPr>
              <w:instrText xml:space="preserve"> PAGEREF _Toc534028002 \h </w:instrText>
            </w:r>
            <w:r w:rsidRPr="0090370C">
              <w:rPr>
                <w:webHidden/>
              </w:rPr>
            </w:r>
            <w:r w:rsidRPr="0090370C">
              <w:rPr>
                <w:webHidden/>
              </w:rPr>
              <w:fldChar w:fldCharType="separate"/>
            </w:r>
            <w:r w:rsidR="00713CB4">
              <w:rPr>
                <w:webHidden/>
              </w:rPr>
              <w:t>24</w:t>
            </w:r>
            <w:r w:rsidRPr="0090370C">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8003" w:history="1">
            <w:r w:rsidR="0090370C" w:rsidRPr="0090370C">
              <w:rPr>
                <w:rStyle w:val="Collegamentoipertestuale"/>
              </w:rPr>
              <w:t>Spese per lavori pubblici urgenti degli enti locali</w:t>
            </w:r>
            <w:r w:rsidR="0090370C" w:rsidRPr="0090370C">
              <w:rPr>
                <w:webHidden/>
              </w:rPr>
              <w:tab/>
            </w:r>
            <w:r w:rsidRPr="0090370C">
              <w:rPr>
                <w:webHidden/>
              </w:rPr>
              <w:fldChar w:fldCharType="begin"/>
            </w:r>
            <w:r w:rsidR="0090370C" w:rsidRPr="0090370C">
              <w:rPr>
                <w:webHidden/>
              </w:rPr>
              <w:instrText xml:space="preserve"> PAGEREF _Toc534028003 \h </w:instrText>
            </w:r>
            <w:r w:rsidRPr="0090370C">
              <w:rPr>
                <w:webHidden/>
              </w:rPr>
            </w:r>
            <w:r w:rsidRPr="0090370C">
              <w:rPr>
                <w:webHidden/>
              </w:rPr>
              <w:fldChar w:fldCharType="separate"/>
            </w:r>
            <w:r w:rsidR="00713CB4">
              <w:rPr>
                <w:webHidden/>
              </w:rPr>
              <w:t>24</w:t>
            </w:r>
            <w:r w:rsidRPr="0090370C">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8004" w:history="1">
            <w:r w:rsidR="0090370C" w:rsidRPr="0090370C">
              <w:rPr>
                <w:rStyle w:val="Collegamentoipertestuale"/>
              </w:rPr>
              <w:t>Fondo aree di confine</w:t>
            </w:r>
            <w:r w:rsidR="0090370C" w:rsidRPr="0090370C">
              <w:rPr>
                <w:webHidden/>
              </w:rPr>
              <w:tab/>
            </w:r>
            <w:r w:rsidRPr="0090370C">
              <w:rPr>
                <w:webHidden/>
              </w:rPr>
              <w:fldChar w:fldCharType="begin"/>
            </w:r>
            <w:r w:rsidR="0090370C" w:rsidRPr="0090370C">
              <w:rPr>
                <w:webHidden/>
              </w:rPr>
              <w:instrText xml:space="preserve"> PAGEREF _Toc534028004 \h </w:instrText>
            </w:r>
            <w:r w:rsidRPr="0090370C">
              <w:rPr>
                <w:webHidden/>
              </w:rPr>
            </w:r>
            <w:r w:rsidRPr="0090370C">
              <w:rPr>
                <w:webHidden/>
              </w:rPr>
              <w:fldChar w:fldCharType="separate"/>
            </w:r>
            <w:r w:rsidR="00713CB4">
              <w:rPr>
                <w:webHidden/>
              </w:rPr>
              <w:t>24</w:t>
            </w:r>
            <w:r w:rsidRPr="0090370C">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8005" w:history="1">
            <w:r w:rsidR="0090370C" w:rsidRPr="0090370C">
              <w:rPr>
                <w:rStyle w:val="Collegamentoipertestuale"/>
              </w:rPr>
              <w:t>Norme riguardanti singoli enti locali</w:t>
            </w:r>
            <w:r w:rsidR="0090370C" w:rsidRPr="0090370C">
              <w:rPr>
                <w:webHidden/>
              </w:rPr>
              <w:tab/>
            </w:r>
            <w:r w:rsidRPr="0090370C">
              <w:rPr>
                <w:webHidden/>
              </w:rPr>
              <w:fldChar w:fldCharType="begin"/>
            </w:r>
            <w:r w:rsidR="0090370C" w:rsidRPr="0090370C">
              <w:rPr>
                <w:webHidden/>
              </w:rPr>
              <w:instrText xml:space="preserve"> PAGEREF _Toc534028005 \h </w:instrText>
            </w:r>
            <w:r w:rsidRPr="0090370C">
              <w:rPr>
                <w:webHidden/>
              </w:rPr>
            </w:r>
            <w:r w:rsidRPr="0090370C">
              <w:rPr>
                <w:webHidden/>
              </w:rPr>
              <w:fldChar w:fldCharType="separate"/>
            </w:r>
            <w:r w:rsidR="00713CB4">
              <w:rPr>
                <w:webHidden/>
              </w:rPr>
              <w:t>24</w:t>
            </w:r>
            <w:r w:rsidRPr="0090370C">
              <w:rPr>
                <w:webHidden/>
              </w:rPr>
              <w:fldChar w:fldCharType="end"/>
            </w:r>
          </w:hyperlink>
        </w:p>
        <w:p w:rsidR="0090370C" w:rsidRDefault="007132D8" w:rsidP="0090370C">
          <w:pPr>
            <w:pStyle w:val="Sommario1"/>
            <w:spacing w:after="20" w:line="240" w:lineRule="auto"/>
            <w:rPr>
              <w:rFonts w:asciiTheme="minorHAnsi" w:eastAsiaTheme="minorEastAsia" w:hAnsiTheme="minorHAnsi" w:cstheme="minorBidi"/>
              <w:b w:val="0"/>
              <w:szCs w:val="22"/>
              <w:lang w:val="fr-FR" w:eastAsia="fr-FR"/>
            </w:rPr>
          </w:pPr>
          <w:hyperlink w:anchor="_Toc534028006" w:history="1">
            <w:r w:rsidR="0090370C" w:rsidRPr="00BB7FC6">
              <w:rPr>
                <w:rStyle w:val="Collegamentoipertestuale"/>
                <w:rFonts w:ascii="Bookman Old Style" w:hAnsi="Bookman Old Style"/>
              </w:rPr>
              <w:t>NORME RELATIVE A EVENTI SISMICI</w:t>
            </w:r>
            <w:r w:rsidR="0090370C">
              <w:rPr>
                <w:webHidden/>
              </w:rPr>
              <w:tab/>
            </w:r>
            <w:r>
              <w:rPr>
                <w:webHidden/>
              </w:rPr>
              <w:fldChar w:fldCharType="begin"/>
            </w:r>
            <w:r w:rsidR="0090370C">
              <w:rPr>
                <w:webHidden/>
              </w:rPr>
              <w:instrText xml:space="preserve"> PAGEREF _Toc534028006 \h </w:instrText>
            </w:r>
            <w:r>
              <w:rPr>
                <w:webHidden/>
              </w:rPr>
            </w:r>
            <w:r>
              <w:rPr>
                <w:webHidden/>
              </w:rPr>
              <w:fldChar w:fldCharType="separate"/>
            </w:r>
            <w:r w:rsidR="00713CB4">
              <w:rPr>
                <w:webHidden/>
              </w:rPr>
              <w:t>25</w:t>
            </w:r>
            <w:r>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8007" w:history="1">
            <w:r w:rsidR="0090370C" w:rsidRPr="0090370C">
              <w:rPr>
                <w:rStyle w:val="Collegamentoipertestuale"/>
              </w:rPr>
              <w:t>Sisma Centro Italia 2016</w:t>
            </w:r>
            <w:r w:rsidR="0090370C" w:rsidRPr="0090370C">
              <w:rPr>
                <w:webHidden/>
              </w:rPr>
              <w:tab/>
            </w:r>
            <w:r w:rsidRPr="0090370C">
              <w:rPr>
                <w:webHidden/>
              </w:rPr>
              <w:fldChar w:fldCharType="begin"/>
            </w:r>
            <w:r w:rsidR="0090370C" w:rsidRPr="0090370C">
              <w:rPr>
                <w:webHidden/>
              </w:rPr>
              <w:instrText xml:space="preserve"> PAGEREF _Toc534028007 \h </w:instrText>
            </w:r>
            <w:r w:rsidRPr="0090370C">
              <w:rPr>
                <w:webHidden/>
              </w:rPr>
            </w:r>
            <w:r w:rsidRPr="0090370C">
              <w:rPr>
                <w:webHidden/>
              </w:rPr>
              <w:fldChar w:fldCharType="separate"/>
            </w:r>
            <w:r w:rsidR="00713CB4">
              <w:rPr>
                <w:webHidden/>
              </w:rPr>
              <w:t>25</w:t>
            </w:r>
            <w:r w:rsidRPr="0090370C">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8008" w:history="1">
            <w:r w:rsidR="0090370C" w:rsidRPr="0090370C">
              <w:rPr>
                <w:rStyle w:val="Collegamentoipertestuale"/>
              </w:rPr>
              <w:t>Sisma L’Aquila 2009</w:t>
            </w:r>
            <w:r w:rsidR="0090370C" w:rsidRPr="0090370C">
              <w:rPr>
                <w:webHidden/>
              </w:rPr>
              <w:tab/>
            </w:r>
            <w:r w:rsidRPr="0090370C">
              <w:rPr>
                <w:webHidden/>
              </w:rPr>
              <w:fldChar w:fldCharType="begin"/>
            </w:r>
            <w:r w:rsidR="0090370C" w:rsidRPr="0090370C">
              <w:rPr>
                <w:webHidden/>
              </w:rPr>
              <w:instrText xml:space="preserve"> PAGEREF _Toc534028008 \h </w:instrText>
            </w:r>
            <w:r w:rsidRPr="0090370C">
              <w:rPr>
                <w:webHidden/>
              </w:rPr>
            </w:r>
            <w:r w:rsidRPr="0090370C">
              <w:rPr>
                <w:webHidden/>
              </w:rPr>
              <w:fldChar w:fldCharType="separate"/>
            </w:r>
            <w:r w:rsidR="00713CB4">
              <w:rPr>
                <w:webHidden/>
              </w:rPr>
              <w:t>26</w:t>
            </w:r>
            <w:r w:rsidRPr="0090370C">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8009" w:history="1">
            <w:r w:rsidR="0090370C" w:rsidRPr="0090370C">
              <w:rPr>
                <w:rStyle w:val="Collegamentoipertestuale"/>
              </w:rPr>
              <w:t>Sisma 2012 Emilia-Romagna e territori colpiti da eventi atmosferici eccezionali nel 2014</w:t>
            </w:r>
            <w:r w:rsidR="0090370C" w:rsidRPr="0090370C">
              <w:rPr>
                <w:webHidden/>
              </w:rPr>
              <w:tab/>
            </w:r>
            <w:r w:rsidRPr="0090370C">
              <w:rPr>
                <w:webHidden/>
              </w:rPr>
              <w:fldChar w:fldCharType="begin"/>
            </w:r>
            <w:r w:rsidR="0090370C" w:rsidRPr="0090370C">
              <w:rPr>
                <w:webHidden/>
              </w:rPr>
              <w:instrText xml:space="preserve"> PAGEREF _Toc534028009 \h </w:instrText>
            </w:r>
            <w:r w:rsidRPr="0090370C">
              <w:rPr>
                <w:webHidden/>
              </w:rPr>
            </w:r>
            <w:r w:rsidRPr="0090370C">
              <w:rPr>
                <w:webHidden/>
              </w:rPr>
              <w:fldChar w:fldCharType="separate"/>
            </w:r>
            <w:r w:rsidR="00713CB4">
              <w:rPr>
                <w:webHidden/>
              </w:rPr>
              <w:t>26</w:t>
            </w:r>
            <w:r w:rsidRPr="0090370C">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8010" w:history="1">
            <w:r w:rsidR="0090370C" w:rsidRPr="0090370C">
              <w:rPr>
                <w:rStyle w:val="Collegamentoipertestuale"/>
              </w:rPr>
              <w:t>Sisma Marche-Umbria 1997 - Recupero di somme eccedenti da contenziosi</w:t>
            </w:r>
            <w:r w:rsidR="0090370C" w:rsidRPr="0090370C">
              <w:rPr>
                <w:webHidden/>
              </w:rPr>
              <w:tab/>
            </w:r>
            <w:r w:rsidRPr="0090370C">
              <w:rPr>
                <w:webHidden/>
              </w:rPr>
              <w:fldChar w:fldCharType="begin"/>
            </w:r>
            <w:r w:rsidR="0090370C" w:rsidRPr="0090370C">
              <w:rPr>
                <w:webHidden/>
              </w:rPr>
              <w:instrText xml:space="preserve"> PAGEREF _Toc534028010 \h </w:instrText>
            </w:r>
            <w:r w:rsidRPr="0090370C">
              <w:rPr>
                <w:webHidden/>
              </w:rPr>
            </w:r>
            <w:r w:rsidRPr="0090370C">
              <w:rPr>
                <w:webHidden/>
              </w:rPr>
              <w:fldChar w:fldCharType="separate"/>
            </w:r>
            <w:r w:rsidR="00713CB4">
              <w:rPr>
                <w:webHidden/>
              </w:rPr>
              <w:t>27</w:t>
            </w:r>
            <w:r w:rsidRPr="0090370C">
              <w:rPr>
                <w:webHidden/>
              </w:rPr>
              <w:fldChar w:fldCharType="end"/>
            </w:r>
          </w:hyperlink>
        </w:p>
        <w:p w:rsidR="0090370C" w:rsidRDefault="007132D8" w:rsidP="0090370C">
          <w:pPr>
            <w:pStyle w:val="Sommario1"/>
            <w:spacing w:after="20" w:line="240" w:lineRule="auto"/>
            <w:rPr>
              <w:rFonts w:asciiTheme="minorHAnsi" w:eastAsiaTheme="minorEastAsia" w:hAnsiTheme="minorHAnsi" w:cstheme="minorBidi"/>
              <w:b w:val="0"/>
              <w:szCs w:val="22"/>
              <w:lang w:val="fr-FR" w:eastAsia="fr-FR"/>
            </w:rPr>
          </w:pPr>
          <w:hyperlink w:anchor="_Toc534028011" w:history="1">
            <w:r w:rsidR="0090370C" w:rsidRPr="00BB7FC6">
              <w:rPr>
                <w:rStyle w:val="Collegamentoipertestuale"/>
                <w:rFonts w:ascii="Bookman Old Style" w:eastAsiaTheme="minorHAnsi" w:hAnsi="Bookman Old Style"/>
                <w:lang w:eastAsia="en-US"/>
              </w:rPr>
              <w:t>PERSONALE</w:t>
            </w:r>
            <w:r w:rsidR="0090370C">
              <w:rPr>
                <w:webHidden/>
              </w:rPr>
              <w:tab/>
            </w:r>
            <w:r>
              <w:rPr>
                <w:webHidden/>
              </w:rPr>
              <w:fldChar w:fldCharType="begin"/>
            </w:r>
            <w:r w:rsidR="0090370C">
              <w:rPr>
                <w:webHidden/>
              </w:rPr>
              <w:instrText xml:space="preserve"> PAGEREF _Toc534028011 \h </w:instrText>
            </w:r>
            <w:r>
              <w:rPr>
                <w:webHidden/>
              </w:rPr>
            </w:r>
            <w:r>
              <w:rPr>
                <w:webHidden/>
              </w:rPr>
              <w:fldChar w:fldCharType="separate"/>
            </w:r>
            <w:r w:rsidR="00713CB4">
              <w:rPr>
                <w:webHidden/>
              </w:rPr>
              <w:t>27</w:t>
            </w:r>
            <w:r>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8012" w:history="1">
            <w:r w:rsidR="0090370C" w:rsidRPr="0090370C">
              <w:rPr>
                <w:rStyle w:val="Collegamentoipertestuale"/>
              </w:rPr>
              <w:t>Avvalimento</w:t>
            </w:r>
            <w:r w:rsidR="0090370C" w:rsidRPr="0090370C">
              <w:rPr>
                <w:webHidden/>
              </w:rPr>
              <w:tab/>
            </w:r>
            <w:r w:rsidRPr="0090370C">
              <w:rPr>
                <w:webHidden/>
              </w:rPr>
              <w:fldChar w:fldCharType="begin"/>
            </w:r>
            <w:r w:rsidR="0090370C" w:rsidRPr="0090370C">
              <w:rPr>
                <w:webHidden/>
              </w:rPr>
              <w:instrText xml:space="preserve"> PAGEREF _Toc534028012 \h </w:instrText>
            </w:r>
            <w:r w:rsidRPr="0090370C">
              <w:rPr>
                <w:webHidden/>
              </w:rPr>
            </w:r>
            <w:r w:rsidRPr="0090370C">
              <w:rPr>
                <w:webHidden/>
              </w:rPr>
              <w:fldChar w:fldCharType="separate"/>
            </w:r>
            <w:r w:rsidR="00713CB4">
              <w:rPr>
                <w:webHidden/>
              </w:rPr>
              <w:t>27</w:t>
            </w:r>
            <w:r w:rsidRPr="0090370C">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8013" w:history="1">
            <w:r w:rsidR="0090370C" w:rsidRPr="0090370C">
              <w:rPr>
                <w:rStyle w:val="Collegamentoipertestuale"/>
              </w:rPr>
              <w:t>Procedure semplificate per reclutamento personale</w:t>
            </w:r>
            <w:r w:rsidR="0090370C" w:rsidRPr="0090370C">
              <w:rPr>
                <w:webHidden/>
              </w:rPr>
              <w:tab/>
            </w:r>
            <w:r w:rsidRPr="0090370C">
              <w:rPr>
                <w:webHidden/>
              </w:rPr>
              <w:fldChar w:fldCharType="begin"/>
            </w:r>
            <w:r w:rsidR="0090370C" w:rsidRPr="0090370C">
              <w:rPr>
                <w:webHidden/>
              </w:rPr>
              <w:instrText xml:space="preserve"> PAGEREF _Toc534028013 \h </w:instrText>
            </w:r>
            <w:r w:rsidRPr="0090370C">
              <w:rPr>
                <w:webHidden/>
              </w:rPr>
            </w:r>
            <w:r w:rsidRPr="0090370C">
              <w:rPr>
                <w:webHidden/>
              </w:rPr>
              <w:fldChar w:fldCharType="separate"/>
            </w:r>
            <w:r w:rsidR="00713CB4">
              <w:rPr>
                <w:webHidden/>
              </w:rPr>
              <w:t>28</w:t>
            </w:r>
            <w:r w:rsidRPr="0090370C">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8014" w:history="1">
            <w:r w:rsidR="0090370C" w:rsidRPr="0090370C">
              <w:rPr>
                <w:rStyle w:val="Collegamentoipertestuale"/>
              </w:rPr>
              <w:t>Graduatorie</w:t>
            </w:r>
            <w:r w:rsidR="0090370C" w:rsidRPr="0090370C">
              <w:rPr>
                <w:webHidden/>
              </w:rPr>
              <w:tab/>
            </w:r>
            <w:r w:rsidRPr="0090370C">
              <w:rPr>
                <w:webHidden/>
              </w:rPr>
              <w:fldChar w:fldCharType="begin"/>
            </w:r>
            <w:r w:rsidR="0090370C" w:rsidRPr="0090370C">
              <w:rPr>
                <w:webHidden/>
              </w:rPr>
              <w:instrText xml:space="preserve"> PAGEREF _Toc534028014 \h </w:instrText>
            </w:r>
            <w:r w:rsidRPr="0090370C">
              <w:rPr>
                <w:webHidden/>
              </w:rPr>
            </w:r>
            <w:r w:rsidRPr="0090370C">
              <w:rPr>
                <w:webHidden/>
              </w:rPr>
              <w:fldChar w:fldCharType="separate"/>
            </w:r>
            <w:r w:rsidR="00713CB4">
              <w:rPr>
                <w:webHidden/>
              </w:rPr>
              <w:t>28</w:t>
            </w:r>
            <w:r w:rsidRPr="0090370C">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8015" w:history="1">
            <w:r w:rsidR="0090370C" w:rsidRPr="0090370C">
              <w:rPr>
                <w:rStyle w:val="Collegamentoipertestuale"/>
              </w:rPr>
              <w:t>Assunzioni LSU</w:t>
            </w:r>
            <w:r w:rsidR="0090370C" w:rsidRPr="0090370C">
              <w:rPr>
                <w:webHidden/>
              </w:rPr>
              <w:tab/>
            </w:r>
            <w:r w:rsidRPr="0090370C">
              <w:rPr>
                <w:webHidden/>
              </w:rPr>
              <w:fldChar w:fldCharType="begin"/>
            </w:r>
            <w:r w:rsidR="0090370C" w:rsidRPr="0090370C">
              <w:rPr>
                <w:webHidden/>
              </w:rPr>
              <w:instrText xml:space="preserve"> PAGEREF _Toc534028015 \h </w:instrText>
            </w:r>
            <w:r w:rsidRPr="0090370C">
              <w:rPr>
                <w:webHidden/>
              </w:rPr>
            </w:r>
            <w:r w:rsidRPr="0090370C">
              <w:rPr>
                <w:webHidden/>
              </w:rPr>
              <w:fldChar w:fldCharType="separate"/>
            </w:r>
            <w:r w:rsidR="00713CB4">
              <w:rPr>
                <w:webHidden/>
              </w:rPr>
              <w:t>28</w:t>
            </w:r>
            <w:r w:rsidRPr="0090370C">
              <w:rPr>
                <w:webHidden/>
              </w:rPr>
              <w:fldChar w:fldCharType="end"/>
            </w:r>
          </w:hyperlink>
        </w:p>
        <w:p w:rsidR="0090370C" w:rsidRDefault="007132D8" w:rsidP="0090370C">
          <w:pPr>
            <w:pStyle w:val="Sommario1"/>
            <w:spacing w:after="20" w:line="240" w:lineRule="auto"/>
            <w:rPr>
              <w:rFonts w:asciiTheme="minorHAnsi" w:eastAsiaTheme="minorEastAsia" w:hAnsiTheme="minorHAnsi" w:cstheme="minorBidi"/>
              <w:b w:val="0"/>
              <w:szCs w:val="22"/>
              <w:lang w:val="fr-FR" w:eastAsia="fr-FR"/>
            </w:rPr>
          </w:pPr>
          <w:hyperlink w:anchor="_Toc534028016" w:history="1">
            <w:r w:rsidR="0090370C" w:rsidRPr="00BB7FC6">
              <w:rPr>
                <w:rStyle w:val="Collegamentoipertestuale"/>
                <w:rFonts w:ascii="Bookman Old Style" w:eastAsiaTheme="minorHAnsi" w:hAnsi="Bookman Old Style"/>
                <w:lang w:eastAsia="en-US"/>
              </w:rPr>
              <w:t>ALTRE NORME DI INTERESSE DEI COMUNI</w:t>
            </w:r>
            <w:r w:rsidR="0090370C">
              <w:rPr>
                <w:webHidden/>
              </w:rPr>
              <w:tab/>
            </w:r>
            <w:r>
              <w:rPr>
                <w:webHidden/>
              </w:rPr>
              <w:fldChar w:fldCharType="begin"/>
            </w:r>
            <w:r w:rsidR="0090370C">
              <w:rPr>
                <w:webHidden/>
              </w:rPr>
              <w:instrText xml:space="preserve"> PAGEREF _Toc534028016 \h </w:instrText>
            </w:r>
            <w:r>
              <w:rPr>
                <w:webHidden/>
              </w:rPr>
            </w:r>
            <w:r>
              <w:rPr>
                <w:webHidden/>
              </w:rPr>
              <w:fldChar w:fldCharType="separate"/>
            </w:r>
            <w:r w:rsidR="00713CB4">
              <w:rPr>
                <w:webHidden/>
              </w:rPr>
              <w:t>28</w:t>
            </w:r>
            <w:r>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8017" w:history="1">
            <w:r w:rsidR="0090370C" w:rsidRPr="0090370C">
              <w:rPr>
                <w:rStyle w:val="Collegamentoipertestuale"/>
              </w:rPr>
              <w:t>PRiU</w:t>
            </w:r>
            <w:r w:rsidR="0090370C" w:rsidRPr="0090370C">
              <w:rPr>
                <w:webHidden/>
              </w:rPr>
              <w:tab/>
            </w:r>
            <w:r w:rsidRPr="0090370C">
              <w:rPr>
                <w:webHidden/>
              </w:rPr>
              <w:fldChar w:fldCharType="begin"/>
            </w:r>
            <w:r w:rsidR="0090370C" w:rsidRPr="0090370C">
              <w:rPr>
                <w:webHidden/>
              </w:rPr>
              <w:instrText xml:space="preserve"> PAGEREF _Toc534028017 \h </w:instrText>
            </w:r>
            <w:r w:rsidRPr="0090370C">
              <w:rPr>
                <w:webHidden/>
              </w:rPr>
            </w:r>
            <w:r w:rsidRPr="0090370C">
              <w:rPr>
                <w:webHidden/>
              </w:rPr>
              <w:fldChar w:fldCharType="separate"/>
            </w:r>
            <w:r w:rsidR="00713CB4">
              <w:rPr>
                <w:webHidden/>
              </w:rPr>
              <w:t>28</w:t>
            </w:r>
            <w:r w:rsidRPr="0090370C">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8018" w:history="1">
            <w:r w:rsidR="0090370C" w:rsidRPr="0090370C">
              <w:rPr>
                <w:rStyle w:val="Collegamentoipertestuale"/>
              </w:rPr>
              <w:t>Micromobilità  comma 102</w:t>
            </w:r>
            <w:r w:rsidR="0090370C" w:rsidRPr="0090370C">
              <w:rPr>
                <w:webHidden/>
              </w:rPr>
              <w:tab/>
            </w:r>
            <w:r w:rsidRPr="0090370C">
              <w:rPr>
                <w:webHidden/>
              </w:rPr>
              <w:fldChar w:fldCharType="begin"/>
            </w:r>
            <w:r w:rsidR="0090370C" w:rsidRPr="0090370C">
              <w:rPr>
                <w:webHidden/>
              </w:rPr>
              <w:instrText xml:space="preserve"> PAGEREF _Toc534028018 \h </w:instrText>
            </w:r>
            <w:r w:rsidRPr="0090370C">
              <w:rPr>
                <w:webHidden/>
              </w:rPr>
            </w:r>
            <w:r w:rsidRPr="0090370C">
              <w:rPr>
                <w:webHidden/>
              </w:rPr>
              <w:fldChar w:fldCharType="separate"/>
            </w:r>
            <w:r w:rsidR="00713CB4">
              <w:rPr>
                <w:webHidden/>
              </w:rPr>
              <w:t>28</w:t>
            </w:r>
            <w:r w:rsidRPr="0090370C">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8019" w:history="1">
            <w:r w:rsidR="0090370C" w:rsidRPr="0090370C">
              <w:rPr>
                <w:rStyle w:val="Collegamentoipertestuale"/>
              </w:rPr>
              <w:t>Ingresso ZTL per auto elettriche o ibride</w:t>
            </w:r>
            <w:r w:rsidR="0090370C" w:rsidRPr="0090370C">
              <w:rPr>
                <w:webHidden/>
              </w:rPr>
              <w:tab/>
            </w:r>
            <w:r w:rsidRPr="0090370C">
              <w:rPr>
                <w:webHidden/>
              </w:rPr>
              <w:fldChar w:fldCharType="begin"/>
            </w:r>
            <w:r w:rsidR="0090370C" w:rsidRPr="0090370C">
              <w:rPr>
                <w:webHidden/>
              </w:rPr>
              <w:instrText xml:space="preserve"> PAGEREF _Toc534028019 \h </w:instrText>
            </w:r>
            <w:r w:rsidRPr="0090370C">
              <w:rPr>
                <w:webHidden/>
              </w:rPr>
            </w:r>
            <w:r w:rsidRPr="0090370C">
              <w:rPr>
                <w:webHidden/>
              </w:rPr>
              <w:fldChar w:fldCharType="separate"/>
            </w:r>
            <w:r w:rsidR="00713CB4">
              <w:rPr>
                <w:webHidden/>
              </w:rPr>
              <w:t>29</w:t>
            </w:r>
            <w:r w:rsidRPr="0090370C">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8020" w:history="1">
            <w:r w:rsidR="0090370C" w:rsidRPr="0090370C">
              <w:rPr>
                <w:rStyle w:val="Collegamentoipertestuale"/>
              </w:rPr>
              <w:t>Stanziamento per autostrade ciclabili</w:t>
            </w:r>
            <w:r w:rsidR="0090370C" w:rsidRPr="0090370C">
              <w:rPr>
                <w:webHidden/>
              </w:rPr>
              <w:tab/>
            </w:r>
            <w:r w:rsidRPr="0090370C">
              <w:rPr>
                <w:webHidden/>
              </w:rPr>
              <w:fldChar w:fldCharType="begin"/>
            </w:r>
            <w:r w:rsidR="0090370C" w:rsidRPr="0090370C">
              <w:rPr>
                <w:webHidden/>
              </w:rPr>
              <w:instrText xml:space="preserve"> PAGEREF _Toc534028020 \h </w:instrText>
            </w:r>
            <w:r w:rsidRPr="0090370C">
              <w:rPr>
                <w:webHidden/>
              </w:rPr>
            </w:r>
            <w:r w:rsidRPr="0090370C">
              <w:rPr>
                <w:webHidden/>
              </w:rPr>
              <w:fldChar w:fldCharType="separate"/>
            </w:r>
            <w:r w:rsidR="00713CB4">
              <w:rPr>
                <w:webHidden/>
              </w:rPr>
              <w:t>29</w:t>
            </w:r>
            <w:r w:rsidRPr="0090370C">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8021" w:history="1">
            <w:r w:rsidR="0090370C" w:rsidRPr="0090370C">
              <w:rPr>
                <w:rStyle w:val="Collegamentoipertestuale"/>
              </w:rPr>
              <w:t>Concessioni demaniali</w:t>
            </w:r>
            <w:r w:rsidR="0090370C" w:rsidRPr="0090370C">
              <w:rPr>
                <w:webHidden/>
              </w:rPr>
              <w:tab/>
            </w:r>
            <w:r w:rsidRPr="0090370C">
              <w:rPr>
                <w:webHidden/>
              </w:rPr>
              <w:fldChar w:fldCharType="begin"/>
            </w:r>
            <w:r w:rsidR="0090370C" w:rsidRPr="0090370C">
              <w:rPr>
                <w:webHidden/>
              </w:rPr>
              <w:instrText xml:space="preserve"> PAGEREF _Toc534028021 \h </w:instrText>
            </w:r>
            <w:r w:rsidRPr="0090370C">
              <w:rPr>
                <w:webHidden/>
              </w:rPr>
            </w:r>
            <w:r w:rsidRPr="0090370C">
              <w:rPr>
                <w:webHidden/>
              </w:rPr>
              <w:fldChar w:fldCharType="separate"/>
            </w:r>
            <w:r w:rsidR="00713CB4">
              <w:rPr>
                <w:webHidden/>
              </w:rPr>
              <w:t>29</w:t>
            </w:r>
            <w:r w:rsidRPr="0090370C">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8022" w:history="1">
            <w:r w:rsidR="0090370C" w:rsidRPr="0090370C">
              <w:rPr>
                <w:rStyle w:val="Collegamentoipertestuale"/>
              </w:rPr>
              <w:t>Deroga Bolkestein per commercio su aree pubbliche</w:t>
            </w:r>
            <w:r w:rsidR="0090370C" w:rsidRPr="0090370C">
              <w:rPr>
                <w:webHidden/>
              </w:rPr>
              <w:tab/>
            </w:r>
            <w:r w:rsidRPr="0090370C">
              <w:rPr>
                <w:webHidden/>
              </w:rPr>
              <w:fldChar w:fldCharType="begin"/>
            </w:r>
            <w:r w:rsidR="0090370C" w:rsidRPr="0090370C">
              <w:rPr>
                <w:webHidden/>
              </w:rPr>
              <w:instrText xml:space="preserve"> PAGEREF _Toc534028022 \h </w:instrText>
            </w:r>
            <w:r w:rsidRPr="0090370C">
              <w:rPr>
                <w:webHidden/>
              </w:rPr>
            </w:r>
            <w:r w:rsidRPr="0090370C">
              <w:rPr>
                <w:webHidden/>
              </w:rPr>
              <w:fldChar w:fldCharType="separate"/>
            </w:r>
            <w:r w:rsidR="00713CB4">
              <w:rPr>
                <w:webHidden/>
              </w:rPr>
              <w:t>29</w:t>
            </w:r>
            <w:r w:rsidRPr="0090370C">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8023" w:history="1">
            <w:r w:rsidR="0090370C" w:rsidRPr="0090370C">
              <w:rPr>
                <w:rStyle w:val="Collegamentoipertestuale"/>
              </w:rPr>
              <w:t>Esclusione delle società controllate da società quotate in borsa dell’obbligo dei piani di razionalizzazione</w:t>
            </w:r>
            <w:r w:rsidR="0090370C" w:rsidRPr="0090370C">
              <w:rPr>
                <w:webHidden/>
              </w:rPr>
              <w:tab/>
            </w:r>
            <w:r w:rsidRPr="0090370C">
              <w:rPr>
                <w:webHidden/>
              </w:rPr>
              <w:fldChar w:fldCharType="begin"/>
            </w:r>
            <w:r w:rsidR="0090370C" w:rsidRPr="0090370C">
              <w:rPr>
                <w:webHidden/>
              </w:rPr>
              <w:instrText xml:space="preserve"> PAGEREF _Toc534028023 \h </w:instrText>
            </w:r>
            <w:r w:rsidRPr="0090370C">
              <w:rPr>
                <w:webHidden/>
              </w:rPr>
            </w:r>
            <w:r w:rsidRPr="0090370C">
              <w:rPr>
                <w:webHidden/>
              </w:rPr>
              <w:fldChar w:fldCharType="separate"/>
            </w:r>
            <w:r w:rsidR="00713CB4">
              <w:rPr>
                <w:webHidden/>
              </w:rPr>
              <w:t>29</w:t>
            </w:r>
            <w:r w:rsidRPr="0090370C">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8024" w:history="1">
            <w:r w:rsidR="0090370C" w:rsidRPr="0090370C">
              <w:rPr>
                <w:rStyle w:val="Collegamentoipertestuale"/>
              </w:rPr>
              <w:t>Impianti alimentati da rinnovabili</w:t>
            </w:r>
            <w:r w:rsidR="0090370C" w:rsidRPr="0090370C">
              <w:rPr>
                <w:webHidden/>
              </w:rPr>
              <w:tab/>
            </w:r>
            <w:r w:rsidRPr="0090370C">
              <w:rPr>
                <w:webHidden/>
              </w:rPr>
              <w:fldChar w:fldCharType="begin"/>
            </w:r>
            <w:r w:rsidR="0090370C" w:rsidRPr="0090370C">
              <w:rPr>
                <w:webHidden/>
              </w:rPr>
              <w:instrText xml:space="preserve"> PAGEREF _Toc534028024 \h </w:instrText>
            </w:r>
            <w:r w:rsidRPr="0090370C">
              <w:rPr>
                <w:webHidden/>
              </w:rPr>
            </w:r>
            <w:r w:rsidRPr="0090370C">
              <w:rPr>
                <w:webHidden/>
              </w:rPr>
              <w:fldChar w:fldCharType="separate"/>
            </w:r>
            <w:r w:rsidR="00713CB4">
              <w:rPr>
                <w:webHidden/>
              </w:rPr>
              <w:t>29</w:t>
            </w:r>
            <w:r w:rsidRPr="0090370C">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8025" w:history="1">
            <w:r w:rsidR="0090370C" w:rsidRPr="0090370C">
              <w:rPr>
                <w:rStyle w:val="Collegamentoipertestuale"/>
              </w:rPr>
              <w:t>Carta di identità elettronica</w:t>
            </w:r>
            <w:r w:rsidR="0090370C" w:rsidRPr="0090370C">
              <w:rPr>
                <w:webHidden/>
              </w:rPr>
              <w:tab/>
            </w:r>
            <w:r w:rsidRPr="0090370C">
              <w:rPr>
                <w:webHidden/>
              </w:rPr>
              <w:fldChar w:fldCharType="begin"/>
            </w:r>
            <w:r w:rsidR="0090370C" w:rsidRPr="0090370C">
              <w:rPr>
                <w:webHidden/>
              </w:rPr>
              <w:instrText xml:space="preserve"> PAGEREF _Toc534028025 \h </w:instrText>
            </w:r>
            <w:r w:rsidRPr="0090370C">
              <w:rPr>
                <w:webHidden/>
              </w:rPr>
            </w:r>
            <w:r w:rsidRPr="0090370C">
              <w:rPr>
                <w:webHidden/>
              </w:rPr>
              <w:fldChar w:fldCharType="separate"/>
            </w:r>
            <w:r w:rsidR="00713CB4">
              <w:rPr>
                <w:webHidden/>
              </w:rPr>
              <w:t>30</w:t>
            </w:r>
            <w:r w:rsidRPr="0090370C">
              <w:rPr>
                <w:webHidden/>
              </w:rPr>
              <w:fldChar w:fldCharType="end"/>
            </w:r>
          </w:hyperlink>
        </w:p>
        <w:p w:rsidR="0090370C" w:rsidRPr="0090370C" w:rsidRDefault="007132D8" w:rsidP="0090370C">
          <w:pPr>
            <w:pStyle w:val="Sommario2"/>
            <w:spacing w:after="20" w:line="240" w:lineRule="auto"/>
            <w:rPr>
              <w:rFonts w:asciiTheme="minorHAnsi" w:eastAsiaTheme="minorEastAsia" w:hAnsiTheme="minorHAnsi" w:cstheme="minorBidi"/>
              <w:szCs w:val="22"/>
              <w:lang w:val="fr-FR" w:eastAsia="fr-FR"/>
            </w:rPr>
          </w:pPr>
          <w:hyperlink w:anchor="_Toc534028026" w:history="1">
            <w:r w:rsidR="0090370C" w:rsidRPr="0090370C">
              <w:rPr>
                <w:rStyle w:val="Collegamentoipertestuale"/>
              </w:rPr>
              <w:t>Minori non accompagnati</w:t>
            </w:r>
            <w:r w:rsidR="0090370C" w:rsidRPr="0090370C">
              <w:rPr>
                <w:webHidden/>
              </w:rPr>
              <w:tab/>
            </w:r>
            <w:r w:rsidRPr="0090370C">
              <w:rPr>
                <w:webHidden/>
              </w:rPr>
              <w:fldChar w:fldCharType="begin"/>
            </w:r>
            <w:r w:rsidR="0090370C" w:rsidRPr="0090370C">
              <w:rPr>
                <w:webHidden/>
              </w:rPr>
              <w:instrText xml:space="preserve"> PAGEREF _Toc534028026 \h </w:instrText>
            </w:r>
            <w:r w:rsidRPr="0090370C">
              <w:rPr>
                <w:webHidden/>
              </w:rPr>
            </w:r>
            <w:r w:rsidRPr="0090370C">
              <w:rPr>
                <w:webHidden/>
              </w:rPr>
              <w:fldChar w:fldCharType="separate"/>
            </w:r>
            <w:r w:rsidR="00713CB4">
              <w:rPr>
                <w:webHidden/>
              </w:rPr>
              <w:t>30</w:t>
            </w:r>
            <w:r w:rsidRPr="0090370C">
              <w:rPr>
                <w:webHidden/>
              </w:rPr>
              <w:fldChar w:fldCharType="end"/>
            </w:r>
          </w:hyperlink>
        </w:p>
        <w:p w:rsidR="001459C6" w:rsidRDefault="007132D8" w:rsidP="0090370C">
          <w:pPr>
            <w:spacing w:after="20" w:line="240" w:lineRule="auto"/>
            <w:ind w:left="284" w:hanging="142"/>
          </w:pPr>
          <w:r>
            <w:rPr>
              <w:b/>
              <w:bCs/>
            </w:rPr>
            <w:fldChar w:fldCharType="end"/>
          </w:r>
        </w:p>
      </w:sdtContent>
    </w:sdt>
    <w:p w:rsidR="008E07A6" w:rsidRPr="00EA2FBC" w:rsidRDefault="007D3519" w:rsidP="008E07A6">
      <w:pPr>
        <w:pStyle w:val="Titolo1"/>
        <w:rPr>
          <w:rFonts w:ascii="Bookman Old Style" w:hAnsi="Bookman Old Style"/>
          <w:b/>
          <w:sz w:val="24"/>
          <w:szCs w:val="24"/>
        </w:rPr>
      </w:pPr>
      <w:bookmarkStart w:id="1" w:name="_Toc533979305"/>
      <w:bookmarkStart w:id="2" w:name="_Toc534027961"/>
      <w:r w:rsidRPr="00EA2FBC">
        <w:rPr>
          <w:rFonts w:ascii="Bookman Old Style" w:hAnsi="Bookman Old Style"/>
          <w:b/>
          <w:sz w:val="24"/>
          <w:szCs w:val="24"/>
        </w:rPr>
        <w:lastRenderedPageBreak/>
        <w:t>PREMESSA E SINTESI</w:t>
      </w:r>
      <w:bookmarkEnd w:id="1"/>
      <w:bookmarkEnd w:id="2"/>
    </w:p>
    <w:p w:rsidR="008E07A6" w:rsidRPr="00A40DCF" w:rsidRDefault="008E07A6" w:rsidP="007D3519">
      <w:pPr>
        <w:spacing w:after="80"/>
        <w:ind w:firstLine="0"/>
        <w:rPr>
          <w:rFonts w:ascii="Bookman Old Style" w:hAnsi="Bookman Old Style"/>
          <w:szCs w:val="22"/>
        </w:rPr>
      </w:pPr>
      <w:r w:rsidRPr="00A40DCF">
        <w:rPr>
          <w:rFonts w:ascii="Bookman Old Style" w:hAnsi="Bookman Old Style"/>
          <w:szCs w:val="22"/>
        </w:rPr>
        <w:t>La valutazione complessiva dei Comuni sulla legge di bilancio non può essere positiva, nonostante vi siano misure favorevoli e significative</w:t>
      </w:r>
      <w:r>
        <w:rPr>
          <w:rFonts w:ascii="Bookman Old Style" w:hAnsi="Bookman Old Style"/>
          <w:szCs w:val="22"/>
        </w:rPr>
        <w:t xml:space="preserve"> </w:t>
      </w:r>
      <w:r w:rsidRPr="00A40DCF">
        <w:rPr>
          <w:rFonts w:ascii="Bookman Old Style" w:hAnsi="Bookman Old Style"/>
          <w:szCs w:val="22"/>
        </w:rPr>
        <w:t>su alcuni versanti.</w:t>
      </w:r>
      <w:r>
        <w:rPr>
          <w:rFonts w:ascii="Bookman Old Style" w:hAnsi="Bookman Old Style"/>
          <w:szCs w:val="22"/>
        </w:rPr>
        <w:t xml:space="preserve"> </w:t>
      </w:r>
      <w:r w:rsidRPr="00A40DCF">
        <w:rPr>
          <w:rFonts w:ascii="Bookman Old Style" w:hAnsi="Bookman Old Style"/>
          <w:szCs w:val="22"/>
        </w:rPr>
        <w:t xml:space="preserve">Dopo alcuni anni di assenza di tagli alle risorse comunali, rammarica fortemente che </w:t>
      </w:r>
      <w:r>
        <w:rPr>
          <w:rFonts w:ascii="Bookman Old Style" w:hAnsi="Bookman Old Style"/>
          <w:szCs w:val="22"/>
        </w:rPr>
        <w:t xml:space="preserve">si torni </w:t>
      </w:r>
      <w:r w:rsidRPr="00A40DCF">
        <w:rPr>
          <w:rFonts w:ascii="Bookman Old Style" w:hAnsi="Bookman Old Style"/>
          <w:szCs w:val="22"/>
        </w:rPr>
        <w:t xml:space="preserve">al passato con tagli </w:t>
      </w:r>
      <w:r w:rsidR="00E33A5C">
        <w:rPr>
          <w:rFonts w:ascii="Bookman Old Style" w:hAnsi="Bookman Old Style"/>
          <w:szCs w:val="22"/>
        </w:rPr>
        <w:t xml:space="preserve">diretti </w:t>
      </w:r>
      <w:r w:rsidRPr="00A40DCF">
        <w:rPr>
          <w:rFonts w:ascii="Bookman Old Style" w:hAnsi="Bookman Old Style"/>
          <w:szCs w:val="22"/>
        </w:rPr>
        <w:t>che sembrano riguardare solo i Comuni.</w:t>
      </w:r>
      <w:r w:rsidR="00E33A5C">
        <w:rPr>
          <w:rFonts w:ascii="Bookman Old Style" w:hAnsi="Bookman Old Style"/>
          <w:szCs w:val="22"/>
        </w:rPr>
        <w:t xml:space="preserve"> La restituzione di agibilità alla leva fiscale territoriale è solo un</w:t>
      </w:r>
      <w:r w:rsidR="00551939">
        <w:rPr>
          <w:rFonts w:ascii="Bookman Old Style" w:hAnsi="Bookman Old Style"/>
          <w:szCs w:val="22"/>
        </w:rPr>
        <w:t xml:space="preserve"> normale</w:t>
      </w:r>
      <w:r w:rsidR="00E33A5C">
        <w:rPr>
          <w:rFonts w:ascii="Bookman Old Style" w:hAnsi="Bookman Old Style"/>
          <w:szCs w:val="22"/>
        </w:rPr>
        <w:t xml:space="preserve"> ritorno alla normalità ordinamentale e costituzionale, a quella autonomia di entrata e di spesa assegnata dall’articolo 119 della Costituzione</w:t>
      </w:r>
      <w:r w:rsidR="00551939">
        <w:rPr>
          <w:rFonts w:ascii="Bookman Old Style" w:hAnsi="Bookman Old Style"/>
          <w:szCs w:val="22"/>
        </w:rPr>
        <w:t xml:space="preserve">. Autonomia nell’esercizio dei poteri e delle prerogative costituzionali e responsabilità verso i cittadini </w:t>
      </w:r>
      <w:r w:rsidR="00DD6D24">
        <w:rPr>
          <w:rFonts w:ascii="Bookman Old Style" w:hAnsi="Bookman Old Style"/>
          <w:szCs w:val="22"/>
        </w:rPr>
        <w:t>sono un binomio inscindibile che deve ritrovare svolgimento ordinario e non continue interruzioni</w:t>
      </w:r>
      <w:r w:rsidR="0090370C">
        <w:rPr>
          <w:rFonts w:ascii="Bookman Old Style" w:hAnsi="Bookman Old Style"/>
          <w:szCs w:val="22"/>
        </w:rPr>
        <w:t>,</w:t>
      </w:r>
      <w:r w:rsidR="00DD6D24">
        <w:rPr>
          <w:rFonts w:ascii="Bookman Old Style" w:hAnsi="Bookman Old Style"/>
          <w:szCs w:val="22"/>
        </w:rPr>
        <w:t xml:space="preserve"> anche nell’ambito di una revisione organica della finanza comunale.</w:t>
      </w:r>
    </w:p>
    <w:p w:rsidR="008E07A6" w:rsidRPr="00A40DCF" w:rsidRDefault="008E07A6" w:rsidP="007D3519">
      <w:pPr>
        <w:spacing w:after="80"/>
        <w:ind w:firstLine="0"/>
        <w:rPr>
          <w:rFonts w:ascii="Bookman Old Style" w:hAnsi="Bookman Old Style"/>
          <w:szCs w:val="22"/>
        </w:rPr>
      </w:pPr>
      <w:r w:rsidRPr="00A40DCF">
        <w:rPr>
          <w:rFonts w:ascii="Bookman Old Style" w:hAnsi="Bookman Old Style"/>
          <w:szCs w:val="22"/>
        </w:rPr>
        <w:t>La grave stretta operata sulla spesa corrente deriva da un concorso di misure e previsioni negative. La preoccupazione si aggrava alla luce di alcuni dati di fatto che merita ricordare e che il Governo non ha voluto considerare: il comparto dei Comuni è quello che ha contrib</w:t>
      </w:r>
      <w:r w:rsidR="00E33A5C">
        <w:rPr>
          <w:rFonts w:ascii="Bookman Old Style" w:hAnsi="Bookman Old Style"/>
          <w:szCs w:val="22"/>
        </w:rPr>
        <w:t xml:space="preserve">uito di più negli anni </w:t>
      </w:r>
      <w:r w:rsidRPr="00A40DCF">
        <w:rPr>
          <w:rFonts w:ascii="Bookman Old Style" w:hAnsi="Bookman Old Style"/>
          <w:szCs w:val="22"/>
        </w:rPr>
        <w:t xml:space="preserve"> alle politiche di risanamento dei conti pubblici sia in termini a</w:t>
      </w:r>
      <w:r w:rsidR="00E33A5C">
        <w:rPr>
          <w:rFonts w:ascii="Bookman Old Style" w:hAnsi="Bookman Old Style"/>
          <w:szCs w:val="22"/>
        </w:rPr>
        <w:t>ssoluti che proporzionali,</w:t>
      </w:r>
      <w:r w:rsidRPr="00A40DCF">
        <w:rPr>
          <w:rFonts w:ascii="Bookman Old Style" w:hAnsi="Bookman Old Style"/>
          <w:szCs w:val="22"/>
        </w:rPr>
        <w:t xml:space="preserve"> in rapporto agli altri livelli della PA. La spesa corrente dei Comuni si è ridotta </w:t>
      </w:r>
      <w:r>
        <w:rPr>
          <w:rFonts w:ascii="Bookman Old Style" w:hAnsi="Bookman Old Style"/>
          <w:szCs w:val="22"/>
        </w:rPr>
        <w:t xml:space="preserve">sistematicamente </w:t>
      </w:r>
      <w:r w:rsidRPr="00A40DCF">
        <w:rPr>
          <w:rFonts w:ascii="Bookman Old Style" w:hAnsi="Bookman Old Style"/>
          <w:szCs w:val="22"/>
        </w:rPr>
        <w:t xml:space="preserve">dal 2010 </w:t>
      </w:r>
      <w:r>
        <w:rPr>
          <w:rFonts w:ascii="Bookman Old Style" w:hAnsi="Bookman Old Style"/>
          <w:szCs w:val="22"/>
        </w:rPr>
        <w:t>(-7% senza considerare l’effetto dell’inflazione)</w:t>
      </w:r>
      <w:r w:rsidRPr="00A40DCF">
        <w:rPr>
          <w:rFonts w:ascii="Bookman Old Style" w:hAnsi="Bookman Old Style"/>
          <w:szCs w:val="22"/>
        </w:rPr>
        <w:t>, lo stock di debito ha un costante trend decrescente, il personale comunale si è contratto di circa il 15% in un contesto di nuove funzioni devolute, di riforme da attuare, di oneri burocratici a cui far fronte.</w:t>
      </w:r>
    </w:p>
    <w:p w:rsidR="008E07A6" w:rsidRPr="00A40DCF" w:rsidRDefault="008E07A6" w:rsidP="007D3519">
      <w:pPr>
        <w:spacing w:after="80"/>
        <w:ind w:firstLine="0"/>
        <w:rPr>
          <w:rFonts w:ascii="Bookman Old Style" w:hAnsi="Bookman Old Style"/>
          <w:szCs w:val="22"/>
        </w:rPr>
      </w:pPr>
      <w:r w:rsidRPr="00A40DCF">
        <w:rPr>
          <w:rFonts w:ascii="Bookman Old Style" w:hAnsi="Bookman Old Style"/>
          <w:szCs w:val="22"/>
        </w:rPr>
        <w:t>La legge di bilancio è quindi sostanzialmente iniqua e introduce a sfavore dei Comuni una disparità di trattamento rispetto agli altri livelli di governo: prevede nuovi tagli e non restituisce</w:t>
      </w:r>
      <w:r>
        <w:rPr>
          <w:rFonts w:ascii="Bookman Old Style" w:hAnsi="Bookman Old Style"/>
          <w:szCs w:val="22"/>
        </w:rPr>
        <w:t xml:space="preserve"> </w:t>
      </w:r>
      <w:r w:rsidRPr="00A40DCF">
        <w:rPr>
          <w:rFonts w:ascii="Bookman Old Style" w:hAnsi="Bookman Old Style"/>
          <w:szCs w:val="22"/>
        </w:rPr>
        <w:t>le risorse sottratte da norme i cui effetti sono conclusi, come invece dovrebbe</w:t>
      </w:r>
      <w:r>
        <w:rPr>
          <w:rFonts w:ascii="Bookman Old Style" w:hAnsi="Bookman Old Style"/>
          <w:szCs w:val="22"/>
        </w:rPr>
        <w:t xml:space="preserve"> e come è accaduto per altri comparti oggetto delle stesse norme</w:t>
      </w:r>
      <w:r w:rsidRPr="00A40DCF">
        <w:rPr>
          <w:rFonts w:ascii="Bookman Old Style" w:hAnsi="Bookman Old Style"/>
          <w:szCs w:val="22"/>
        </w:rPr>
        <w:t>.</w:t>
      </w:r>
      <w:r>
        <w:rPr>
          <w:rFonts w:ascii="Bookman Old Style" w:hAnsi="Bookman Old Style"/>
          <w:szCs w:val="22"/>
        </w:rPr>
        <w:t xml:space="preserve"> </w:t>
      </w:r>
      <w:r w:rsidRPr="00A40DCF">
        <w:rPr>
          <w:rFonts w:ascii="Bookman Old Style" w:hAnsi="Bookman Old Style"/>
          <w:szCs w:val="22"/>
        </w:rPr>
        <w:t>Sembra venir meno un principio di eguaglianza istituzionale</w:t>
      </w:r>
      <w:r w:rsidR="00E33A5C">
        <w:rPr>
          <w:rFonts w:ascii="Bookman Old Style" w:hAnsi="Bookman Old Style"/>
          <w:szCs w:val="22"/>
        </w:rPr>
        <w:t>,</w:t>
      </w:r>
      <w:r w:rsidRPr="00A40DCF">
        <w:rPr>
          <w:rFonts w:ascii="Bookman Old Style" w:hAnsi="Bookman Old Style"/>
          <w:szCs w:val="22"/>
        </w:rPr>
        <w:t xml:space="preserve"> con eventuali profili di illegittimità costituzionale.</w:t>
      </w:r>
    </w:p>
    <w:p w:rsidR="00E33A5C" w:rsidRDefault="008E07A6" w:rsidP="007D3519">
      <w:pPr>
        <w:spacing w:after="80"/>
        <w:ind w:firstLine="0"/>
        <w:rPr>
          <w:rFonts w:ascii="Bookman Old Style" w:hAnsi="Bookman Old Style"/>
          <w:szCs w:val="22"/>
        </w:rPr>
      </w:pPr>
      <w:r w:rsidRPr="00A40DCF">
        <w:rPr>
          <w:rFonts w:ascii="Bookman Old Style" w:hAnsi="Bookman Old Style"/>
          <w:szCs w:val="22"/>
        </w:rPr>
        <w:t>In concreto, il disappunto si accresce considerate le proposte avanzate da ANCI che si limitavano ad elementi essenziali e fondamentali per assicurare alleggerimenti normativi e fondi di parte corrente dovuti in base a norme vigenti, che avrebbero dovuto completare gli importanti avanzamenti connessi al superamento definitivo dei vincoli finanziari aggiuntivi e all’abolizione del blocco dei tributi locali.</w:t>
      </w:r>
      <w:r>
        <w:rPr>
          <w:rFonts w:ascii="Bookman Old Style" w:hAnsi="Bookman Old Style"/>
          <w:szCs w:val="22"/>
        </w:rPr>
        <w:t xml:space="preserve"> </w:t>
      </w:r>
      <w:r w:rsidRPr="00A40DCF">
        <w:rPr>
          <w:rFonts w:ascii="Bookman Old Style" w:hAnsi="Bookman Old Style"/>
          <w:szCs w:val="22"/>
        </w:rPr>
        <w:t xml:space="preserve">Le richieste fondamentali hanno formato oggetto di un impegno formale in Conferenza Stato-Città ed autonomie locali all’atto della formulazione del parere sul Fondo di solidarietà comunale. </w:t>
      </w:r>
    </w:p>
    <w:p w:rsidR="008E07A6" w:rsidRPr="00A40DCF" w:rsidRDefault="008E07A6" w:rsidP="007D3519">
      <w:pPr>
        <w:spacing w:after="80"/>
        <w:ind w:firstLine="0"/>
        <w:rPr>
          <w:rFonts w:ascii="Bookman Old Style" w:hAnsi="Bookman Old Style"/>
          <w:szCs w:val="22"/>
        </w:rPr>
      </w:pPr>
      <w:r w:rsidRPr="00A40DCF">
        <w:rPr>
          <w:rFonts w:ascii="Bookman Old Style" w:hAnsi="Bookman Old Style"/>
          <w:szCs w:val="22"/>
        </w:rPr>
        <w:t>Rispetto ai contenuti degli impegni ivi formulati sono stati accolte le seguenti richieste:</w:t>
      </w:r>
    </w:p>
    <w:p w:rsidR="008E07A6" w:rsidRDefault="008E07A6" w:rsidP="008E07A6">
      <w:pPr>
        <w:pStyle w:val="Paragrafoelenco"/>
        <w:numPr>
          <w:ilvl w:val="0"/>
          <w:numId w:val="17"/>
        </w:numPr>
        <w:spacing w:after="80"/>
        <w:ind w:left="426" w:firstLine="0"/>
        <w:rPr>
          <w:rFonts w:ascii="Bookman Old Style" w:hAnsi="Bookman Old Style"/>
          <w:szCs w:val="22"/>
        </w:rPr>
      </w:pPr>
      <w:r w:rsidRPr="008E07A6">
        <w:rPr>
          <w:rFonts w:ascii="Bookman Old Style" w:hAnsi="Bookman Old Style"/>
          <w:szCs w:val="22"/>
        </w:rPr>
        <w:t>Maggiorazione Tasi, come applicata negli scorsi anni</w:t>
      </w:r>
    </w:p>
    <w:p w:rsidR="008E07A6" w:rsidRDefault="008E07A6" w:rsidP="007D3519">
      <w:pPr>
        <w:pStyle w:val="Paragrafoelenco"/>
        <w:numPr>
          <w:ilvl w:val="0"/>
          <w:numId w:val="17"/>
        </w:numPr>
        <w:spacing w:after="80"/>
        <w:ind w:left="426" w:firstLine="0"/>
        <w:rPr>
          <w:rFonts w:ascii="Bookman Old Style" w:hAnsi="Bookman Old Style"/>
          <w:szCs w:val="22"/>
        </w:rPr>
      </w:pPr>
      <w:r w:rsidRPr="008E07A6">
        <w:rPr>
          <w:rFonts w:ascii="Bookman Old Style" w:hAnsi="Bookman Old Style"/>
          <w:szCs w:val="22"/>
        </w:rPr>
        <w:t xml:space="preserve">Reintroduzione della maggiorazione dell’imposta pubblicità e rateazione degli eventuali rimborsi (a seguito della sentenza </w:t>
      </w:r>
      <w:proofErr w:type="spellStart"/>
      <w:r w:rsidRPr="008E07A6">
        <w:rPr>
          <w:rFonts w:ascii="Bookman Old Style" w:hAnsi="Bookman Old Style"/>
          <w:szCs w:val="22"/>
        </w:rPr>
        <w:t>CCost</w:t>
      </w:r>
      <w:proofErr w:type="spellEnd"/>
      <w:r w:rsidRPr="008E07A6">
        <w:rPr>
          <w:rFonts w:ascii="Bookman Old Style" w:hAnsi="Bookman Old Style"/>
          <w:szCs w:val="22"/>
        </w:rPr>
        <w:t xml:space="preserve"> n. 15/2018)</w:t>
      </w:r>
    </w:p>
    <w:p w:rsidR="008E07A6" w:rsidRDefault="008E07A6" w:rsidP="007D3519">
      <w:pPr>
        <w:pStyle w:val="Paragrafoelenco"/>
        <w:numPr>
          <w:ilvl w:val="0"/>
          <w:numId w:val="17"/>
        </w:numPr>
        <w:spacing w:after="80"/>
        <w:ind w:left="426" w:firstLine="0"/>
        <w:rPr>
          <w:rFonts w:ascii="Bookman Old Style" w:hAnsi="Bookman Old Style"/>
          <w:szCs w:val="22"/>
        </w:rPr>
      </w:pPr>
      <w:r w:rsidRPr="008E07A6">
        <w:rPr>
          <w:rFonts w:ascii="Bookman Old Style" w:hAnsi="Bookman Old Style"/>
          <w:szCs w:val="22"/>
        </w:rPr>
        <w:t>Sospensione della progressione della quota perequativa del Fondo di solidarietà comunale</w:t>
      </w:r>
    </w:p>
    <w:p w:rsidR="008E07A6" w:rsidRPr="008E07A6" w:rsidRDefault="008E07A6" w:rsidP="008E07A6">
      <w:pPr>
        <w:pStyle w:val="Paragrafoelenco"/>
        <w:numPr>
          <w:ilvl w:val="0"/>
          <w:numId w:val="17"/>
        </w:numPr>
        <w:spacing w:after="80"/>
        <w:ind w:left="426" w:firstLine="0"/>
        <w:rPr>
          <w:rFonts w:ascii="Bookman Old Style" w:hAnsi="Bookman Old Style"/>
          <w:szCs w:val="22"/>
        </w:rPr>
      </w:pPr>
      <w:r w:rsidRPr="008E07A6">
        <w:rPr>
          <w:rFonts w:ascii="Bookman Old Style" w:hAnsi="Bookman Old Style"/>
          <w:szCs w:val="22"/>
        </w:rPr>
        <w:t>Recepimento dell’accordo del 18 ottobre relativo al finanziamento del cd.“Bando Periferie” (riguarda 96 enti tra Comuni capoluogo e Città metropolitane).</w:t>
      </w:r>
    </w:p>
    <w:p w:rsidR="008E07A6" w:rsidRPr="00BF63E4" w:rsidRDefault="008E07A6" w:rsidP="00BF63E4">
      <w:pPr>
        <w:spacing w:after="80"/>
        <w:ind w:firstLine="0"/>
        <w:rPr>
          <w:rFonts w:ascii="Bookman Old Style" w:hAnsi="Bookman Old Style"/>
          <w:szCs w:val="22"/>
        </w:rPr>
      </w:pPr>
      <w:r w:rsidRPr="00BF63E4">
        <w:rPr>
          <w:rFonts w:ascii="Bookman Old Style" w:hAnsi="Bookman Old Style"/>
          <w:szCs w:val="22"/>
        </w:rPr>
        <w:t>Altre questioni fondamentali risultano accolte parzialmente, nonostante gli impegni:l’anticipazione di tesoreria, che viene ridotta a 4/12 (dai 5/12 costantemente mantenuti negli ultimi anni);</w:t>
      </w:r>
    </w:p>
    <w:p w:rsidR="008E07A6" w:rsidRPr="008E07A6" w:rsidRDefault="008E07A6" w:rsidP="008E07A6">
      <w:pPr>
        <w:pStyle w:val="Paragrafoelenco"/>
        <w:numPr>
          <w:ilvl w:val="0"/>
          <w:numId w:val="17"/>
        </w:numPr>
        <w:spacing w:after="80"/>
        <w:ind w:left="284" w:firstLine="0"/>
        <w:rPr>
          <w:rFonts w:ascii="Bookman Old Style" w:hAnsi="Bookman Old Style"/>
          <w:szCs w:val="22"/>
        </w:rPr>
      </w:pPr>
      <w:r w:rsidRPr="008E07A6">
        <w:rPr>
          <w:rFonts w:ascii="Bookman Old Style" w:hAnsi="Bookman Old Style"/>
          <w:szCs w:val="22"/>
        </w:rPr>
        <w:t xml:space="preserve">l’ulteriore intervento per sostenere il pagamento dei debiti pregressi con il contributo di Cassa Depositi e prestiti, prefigurato come una nuova anticipazione di </w:t>
      </w:r>
      <w:r w:rsidRPr="008E07A6">
        <w:rPr>
          <w:rFonts w:ascii="Bookman Old Style" w:hAnsi="Bookman Old Style"/>
          <w:szCs w:val="22"/>
        </w:rPr>
        <w:lastRenderedPageBreak/>
        <w:t>liquidità, in concreto risulta poco efficace alla luce del rimborso entro l’anno e anzi aggiunge un pesantissimo ed inedito giro di vite sanzionatorio (dal 2020) caratterizzato da:</w:t>
      </w:r>
    </w:p>
    <w:p w:rsidR="008E07A6" w:rsidRPr="00A40DCF" w:rsidRDefault="008E07A6" w:rsidP="008E07A6">
      <w:pPr>
        <w:spacing w:after="80"/>
        <w:ind w:left="851" w:firstLine="0"/>
        <w:rPr>
          <w:rFonts w:ascii="Bookman Old Style" w:hAnsi="Bookman Old Style"/>
          <w:szCs w:val="22"/>
        </w:rPr>
      </w:pPr>
      <w:r w:rsidRPr="00A40DCF">
        <w:rPr>
          <w:rFonts w:ascii="Bookman Old Style" w:hAnsi="Bookman Old Style"/>
          <w:szCs w:val="22"/>
        </w:rPr>
        <w:t>o   un meccanismo di mera anticipazione a restituzione ravvicinata (entro l’anno di acquisizione dei fondi), che non fornisce effettivo sollievo aggiuntivo e quindi ben diverso dal percorso di restituzione pluriennale attivato negli scorsi anni con il decreto-legge n. 35 del 2013.</w:t>
      </w:r>
    </w:p>
    <w:p w:rsidR="008E07A6" w:rsidRPr="00A40DCF" w:rsidRDefault="008E07A6" w:rsidP="008E07A6">
      <w:pPr>
        <w:spacing w:after="80"/>
        <w:ind w:left="851" w:firstLine="0"/>
        <w:rPr>
          <w:rFonts w:ascii="Bookman Old Style" w:hAnsi="Bookman Old Style"/>
          <w:szCs w:val="22"/>
        </w:rPr>
      </w:pPr>
      <w:r w:rsidRPr="00A40DCF">
        <w:rPr>
          <w:rFonts w:ascii="Bookman Old Style" w:hAnsi="Bookman Old Style"/>
          <w:szCs w:val="22"/>
        </w:rPr>
        <w:t>o   criteri in base ai quali si determina l’obbligo di ingentissimi accantonamenti</w:t>
      </w:r>
      <w:r>
        <w:rPr>
          <w:rFonts w:ascii="Bookman Old Style" w:hAnsi="Bookman Old Style"/>
          <w:szCs w:val="22"/>
        </w:rPr>
        <w:t xml:space="preserve"> (fino al 5% della spesa per beni e servizi intermedi)</w:t>
      </w:r>
      <w:r w:rsidRPr="00A40DCF">
        <w:rPr>
          <w:rFonts w:ascii="Bookman Old Style" w:hAnsi="Bookman Old Style"/>
          <w:szCs w:val="22"/>
        </w:rPr>
        <w:t>, anche nei casi in cui l’ente locale non ha nessun problema di ritardo nei pagamenti e, nei casi di persistenti problemi, di dimensioni tali da causare di per sé una crisi finanziaria irrimediabile;</w:t>
      </w:r>
    </w:p>
    <w:p w:rsidR="008E07A6" w:rsidRPr="00A40DCF" w:rsidRDefault="008E07A6" w:rsidP="007D3519">
      <w:pPr>
        <w:spacing w:after="80"/>
        <w:ind w:left="284" w:firstLine="0"/>
        <w:rPr>
          <w:rFonts w:ascii="Bookman Old Style" w:hAnsi="Bookman Old Style"/>
          <w:szCs w:val="22"/>
        </w:rPr>
      </w:pPr>
      <w:r w:rsidRPr="00A40DCF">
        <w:rPr>
          <w:rFonts w:ascii="Bookman Old Style" w:hAnsi="Bookman Old Style"/>
          <w:szCs w:val="22"/>
        </w:rPr>
        <w:t>-</w:t>
      </w:r>
      <w:r>
        <w:rPr>
          <w:rFonts w:ascii="Bookman Old Style" w:hAnsi="Bookman Old Style"/>
          <w:szCs w:val="22"/>
        </w:rPr>
        <w:t xml:space="preserve"> i</w:t>
      </w:r>
      <w:r w:rsidRPr="00A40DCF">
        <w:rPr>
          <w:rFonts w:ascii="Bookman Old Style" w:hAnsi="Bookman Old Style"/>
          <w:szCs w:val="22"/>
        </w:rPr>
        <w:t>l concordato mantenimento al 75% (rispetto all’85% previsto dalla normativa vigente) della percentuale obbligatoria di accantonamento al Fondo crediti di dubbia esigibilità (FCDE) si concretizza invece in un aumento all’80%, per di più sottoposto al rispetto di condizioni relative al rispetto dei tempi di pagamento delle fatture commerciali, che rischiano di mettere in maggiori difficoltà proprio gli enti in condizioni di cassa più critiche.</w:t>
      </w:r>
      <w:r>
        <w:rPr>
          <w:rFonts w:ascii="Bookman Old Style" w:hAnsi="Bookman Old Style"/>
          <w:szCs w:val="22"/>
        </w:rPr>
        <w:t xml:space="preserve"> </w:t>
      </w:r>
      <w:r w:rsidRPr="00A40DCF">
        <w:rPr>
          <w:rFonts w:ascii="Bookman Old Style" w:hAnsi="Bookman Old Style"/>
          <w:szCs w:val="22"/>
        </w:rPr>
        <w:t>Inoltre, non viene assicurato che la stessa percentuale di accantonamento minimo in previsione sia applicabile anche a consuntivo</w:t>
      </w:r>
      <w:r>
        <w:rPr>
          <w:rFonts w:ascii="Bookman Old Style" w:hAnsi="Bookman Old Style"/>
          <w:szCs w:val="22"/>
        </w:rPr>
        <w:t>;</w:t>
      </w:r>
    </w:p>
    <w:p w:rsidR="008E07A6" w:rsidRPr="00A40DCF" w:rsidRDefault="008E07A6" w:rsidP="007D3519">
      <w:pPr>
        <w:spacing w:after="80"/>
        <w:ind w:left="284" w:firstLine="0"/>
        <w:rPr>
          <w:rFonts w:ascii="Bookman Old Style" w:hAnsi="Bookman Old Style"/>
          <w:szCs w:val="22"/>
        </w:rPr>
      </w:pPr>
      <w:r>
        <w:rPr>
          <w:rFonts w:ascii="Bookman Old Style" w:hAnsi="Bookman Old Style"/>
          <w:szCs w:val="22"/>
        </w:rPr>
        <w:t>-  i</w:t>
      </w:r>
      <w:r w:rsidRPr="00A40DCF">
        <w:rPr>
          <w:rFonts w:ascii="Bookman Old Style" w:hAnsi="Bookman Old Style"/>
          <w:szCs w:val="22"/>
        </w:rPr>
        <w:t>l fondo “IMU-Tasi”, che lo stesso Ministero dell’Economia ha a suo tempo certificato formalmente in almeno 485 milioni di euro viene ulteriormente ridotto a 190 milioni. Inoltre, la norma suscita gravi preoccupazioni, in quanto sembra imporre l’utilizzo vincolato a spese di investimento. Questa lettura costituirebbe una evidente contraddizione con lo scopo del contributo che è di ristorare oltre 1.800 Comuni del gettito non più acquisibile con il passaggio dall’IMU alla Tasi avvenuto nel 2014, gettito che non aveva ovviamente alcun vincolo di destinazione.</w:t>
      </w:r>
    </w:p>
    <w:p w:rsidR="008E07A6" w:rsidRPr="00A40DCF" w:rsidRDefault="008E07A6" w:rsidP="007D3519">
      <w:pPr>
        <w:spacing w:after="80"/>
        <w:ind w:firstLine="0"/>
        <w:rPr>
          <w:rFonts w:ascii="Bookman Old Style" w:hAnsi="Bookman Old Style"/>
          <w:szCs w:val="22"/>
        </w:rPr>
      </w:pPr>
      <w:r w:rsidRPr="00A40DCF">
        <w:rPr>
          <w:rFonts w:ascii="Bookman Old Style" w:hAnsi="Bookman Old Style"/>
          <w:szCs w:val="22"/>
        </w:rPr>
        <w:t>Non viene presa in considerazione l’esigenza di rientro dal taglio di 564 milioni subito dai Comuni per effetto del decreto 66/2014, che lo stesso decreto limitava nel tempo fino al 2018, mentre crescono gli oneri di parte corrente anche per il rinnovo contrattuale del triennio 2019-21</w:t>
      </w:r>
      <w:r>
        <w:rPr>
          <w:rFonts w:ascii="Bookman Old Style" w:hAnsi="Bookman Old Style"/>
          <w:szCs w:val="22"/>
        </w:rPr>
        <w:t>, quantificati in 180 milioni per il solo 2019</w:t>
      </w:r>
      <w:r w:rsidRPr="00A40DCF">
        <w:rPr>
          <w:rFonts w:ascii="Bookman Old Style" w:hAnsi="Bookman Old Style"/>
          <w:szCs w:val="22"/>
        </w:rPr>
        <w:t>.</w:t>
      </w:r>
    </w:p>
    <w:p w:rsidR="008E07A6" w:rsidRPr="00A40DCF" w:rsidRDefault="008E07A6" w:rsidP="007D3519">
      <w:pPr>
        <w:spacing w:after="80"/>
        <w:ind w:firstLine="0"/>
        <w:rPr>
          <w:rFonts w:ascii="Bookman Old Style" w:hAnsi="Bookman Old Style"/>
          <w:szCs w:val="22"/>
        </w:rPr>
      </w:pPr>
      <w:r w:rsidRPr="00A40DCF">
        <w:rPr>
          <w:rFonts w:ascii="Bookman Old Style" w:hAnsi="Bookman Old Style"/>
          <w:szCs w:val="22"/>
        </w:rPr>
        <w:t>Le Città metropolitane restano escluse dal fondo di 250 milioni per la manutenzione di strade e scuole pubbliche.</w:t>
      </w:r>
    </w:p>
    <w:p w:rsidR="008E07A6" w:rsidRPr="00A40DCF" w:rsidRDefault="008E07A6" w:rsidP="007D3519">
      <w:pPr>
        <w:spacing w:after="80"/>
        <w:ind w:firstLine="0"/>
        <w:rPr>
          <w:rFonts w:ascii="Bookman Old Style" w:hAnsi="Bookman Old Style"/>
          <w:szCs w:val="22"/>
        </w:rPr>
      </w:pPr>
      <w:r w:rsidRPr="00A40DCF">
        <w:rPr>
          <w:rFonts w:ascii="Bookman Old Style" w:hAnsi="Bookman Old Style"/>
          <w:szCs w:val="22"/>
        </w:rPr>
        <w:t xml:space="preserve">Non viene attivata la promessa ripetizione del </w:t>
      </w:r>
      <w:proofErr w:type="spellStart"/>
      <w:r w:rsidRPr="00A40DCF">
        <w:rPr>
          <w:rFonts w:ascii="Bookman Old Style" w:hAnsi="Bookman Old Style"/>
          <w:szCs w:val="22"/>
        </w:rPr>
        <w:t>riaccertamento</w:t>
      </w:r>
      <w:proofErr w:type="spellEnd"/>
      <w:r w:rsidRPr="00A40DCF">
        <w:rPr>
          <w:rFonts w:ascii="Bookman Old Style" w:hAnsi="Bookman Old Style"/>
          <w:szCs w:val="22"/>
        </w:rPr>
        <w:t xml:space="preserve"> straordinario dei residui, utile anche per attutire gli effetti negativi dell’abolizione senza compensazione dei debiti esattoriali 2000-2010 di importo fino a 1.000 euro (art. 4 del “decreto fiscale - dl 119/2018), che riguarda quasi esclusivamente i Comuni e che comporterà un peggioramento degli equilibri finanziari di molti enti.</w:t>
      </w:r>
    </w:p>
    <w:p w:rsidR="008E07A6" w:rsidRPr="00A40DCF" w:rsidRDefault="008E07A6" w:rsidP="007D3519">
      <w:pPr>
        <w:spacing w:after="80"/>
        <w:ind w:firstLine="0"/>
        <w:rPr>
          <w:rFonts w:ascii="Bookman Old Style" w:hAnsi="Bookman Old Style"/>
          <w:szCs w:val="22"/>
        </w:rPr>
      </w:pPr>
      <w:r w:rsidRPr="00A40DCF">
        <w:rPr>
          <w:rFonts w:ascii="Bookman Old Style" w:hAnsi="Bookman Old Style"/>
          <w:szCs w:val="22"/>
        </w:rPr>
        <w:t>Viene inoltre approvata una riduzione dei carichi fiscali per contribuenti in difficoltà finanziaria e indicatore ISEE fino a 20mila euro, che non è chiaramente delimitata ai debiti erariali e che se risultasse applicabile anche ai tributi locali comporterebbe ingenti perdite di gettito per i Comuni.</w:t>
      </w:r>
    </w:p>
    <w:p w:rsidR="008E07A6" w:rsidRPr="00A40DCF" w:rsidRDefault="008E07A6" w:rsidP="007D3519">
      <w:pPr>
        <w:spacing w:after="80"/>
        <w:ind w:firstLine="0"/>
        <w:rPr>
          <w:rFonts w:ascii="Bookman Old Style" w:hAnsi="Bookman Old Style"/>
          <w:szCs w:val="22"/>
        </w:rPr>
      </w:pPr>
      <w:r w:rsidRPr="00A40DCF">
        <w:rPr>
          <w:rFonts w:ascii="Bookman Old Style" w:hAnsi="Bookman Old Style"/>
          <w:szCs w:val="22"/>
        </w:rPr>
        <w:t>Nel complesso, quindi, i miglioramenti sul versante della capacità di spesa per investimenti (abolizione vincoli finanziari e contributi) non compensano l’ulteriore stretta di parte corrente che i Comuni dovranno fronteggiare per il 2019, dopo aver contribuito in modo straordinario e sproporzionato al risanamento dei conti pubblici nel recente passato.</w:t>
      </w:r>
    </w:p>
    <w:p w:rsidR="008E07A6" w:rsidRDefault="008E07A6" w:rsidP="007D3519">
      <w:pPr>
        <w:spacing w:after="80"/>
        <w:ind w:firstLine="0"/>
        <w:rPr>
          <w:rFonts w:eastAsiaTheme="minorHAnsi"/>
          <w:lang w:eastAsia="en-US"/>
        </w:rPr>
      </w:pPr>
      <w:r w:rsidRPr="00A40DCF">
        <w:rPr>
          <w:rFonts w:ascii="Bookman Old Style" w:hAnsi="Bookman Old Style"/>
          <w:szCs w:val="22"/>
        </w:rPr>
        <w:t>L’ANCI chiede un provvedimento urgente finalizzato a evitare contenziosi e ad assicurare maggiori spazi di manovra limitando al minimo le insostenibili riduzioni di risorse di parte corrente, fondamentali per assicurare il ruolo dei Comuni nella ripresa economica e nella gestione dei servizi locali.</w:t>
      </w:r>
      <w:r w:rsidR="007D3519">
        <w:rPr>
          <w:rFonts w:ascii="Bookman Old Style" w:hAnsi="Bookman Old Style"/>
          <w:szCs w:val="22"/>
        </w:rPr>
        <w:t xml:space="preserve"> </w:t>
      </w:r>
      <w:r w:rsidRPr="00A40DCF">
        <w:rPr>
          <w:rFonts w:ascii="Bookman Old Style" w:hAnsi="Bookman Old Style"/>
          <w:szCs w:val="22"/>
        </w:rPr>
        <w:t>A tal fine</w:t>
      </w:r>
      <w:r w:rsidR="007D3519">
        <w:rPr>
          <w:rFonts w:ascii="Bookman Old Style" w:hAnsi="Bookman Old Style"/>
          <w:szCs w:val="22"/>
        </w:rPr>
        <w:t>,</w:t>
      </w:r>
      <w:r w:rsidRPr="00A40DCF">
        <w:rPr>
          <w:rFonts w:ascii="Bookman Old Style" w:hAnsi="Bookman Old Style"/>
          <w:szCs w:val="22"/>
        </w:rPr>
        <w:t xml:space="preserve"> predisporrà una bozza di decreto</w:t>
      </w:r>
      <w:r>
        <w:rPr>
          <w:rFonts w:ascii="Bookman Old Style" w:hAnsi="Bookman Old Style"/>
          <w:szCs w:val="22"/>
        </w:rPr>
        <w:t>-</w:t>
      </w:r>
      <w:r w:rsidRPr="00A40DCF">
        <w:rPr>
          <w:rFonts w:ascii="Bookman Old Style" w:hAnsi="Bookman Old Style"/>
          <w:szCs w:val="22"/>
        </w:rPr>
        <w:t xml:space="preserve">legge da </w:t>
      </w:r>
      <w:r>
        <w:rPr>
          <w:rFonts w:ascii="Bookman Old Style" w:hAnsi="Bookman Old Style"/>
          <w:szCs w:val="22"/>
        </w:rPr>
        <w:t xml:space="preserve">proporre alla discussione </w:t>
      </w:r>
      <w:r w:rsidRPr="00A40DCF">
        <w:rPr>
          <w:rFonts w:ascii="Bookman Old Style" w:hAnsi="Bookman Old Style"/>
          <w:szCs w:val="22"/>
        </w:rPr>
        <w:t>con il Governo, attivando comunque</w:t>
      </w:r>
      <w:r>
        <w:rPr>
          <w:rFonts w:ascii="Bookman Old Style" w:hAnsi="Bookman Old Style"/>
          <w:szCs w:val="22"/>
        </w:rPr>
        <w:t>,</w:t>
      </w:r>
      <w:r w:rsidRPr="00A40DCF">
        <w:rPr>
          <w:rFonts w:ascii="Bookman Old Style" w:hAnsi="Bookman Old Style"/>
          <w:szCs w:val="22"/>
        </w:rPr>
        <w:t xml:space="preserve"> in collaborazione con i Comuni</w:t>
      </w:r>
      <w:r>
        <w:rPr>
          <w:rFonts w:ascii="Bookman Old Style" w:hAnsi="Bookman Old Style"/>
          <w:szCs w:val="22"/>
        </w:rPr>
        <w:t>,</w:t>
      </w:r>
      <w:r w:rsidRPr="00A40DCF">
        <w:rPr>
          <w:rFonts w:ascii="Bookman Old Style" w:hAnsi="Bookman Old Style"/>
          <w:szCs w:val="22"/>
        </w:rPr>
        <w:t xml:space="preserve"> ogni iniziativa utile in sede giurisdizionale per far valere le ragioni dei Comuni al fine di ottenere le risorse sottratte necessarie a finanziarie il fabbisogno delle funzioni fondamentali.</w:t>
      </w:r>
    </w:p>
    <w:p w:rsidR="00A40DCF" w:rsidRPr="00A40DCF" w:rsidRDefault="00A40DCF" w:rsidP="008E07A6">
      <w:pPr>
        <w:spacing w:after="80"/>
        <w:rPr>
          <w:rFonts w:eastAsiaTheme="minorHAnsi"/>
          <w:lang w:eastAsia="en-US"/>
        </w:rPr>
      </w:pPr>
    </w:p>
    <w:p w:rsidR="00015041" w:rsidRPr="00015041" w:rsidRDefault="00BF63E4" w:rsidP="00015041">
      <w:pPr>
        <w:pStyle w:val="Titolo1"/>
        <w:rPr>
          <w:rFonts w:ascii="Bookman Old Style" w:eastAsiaTheme="minorHAnsi" w:hAnsi="Bookman Old Style"/>
          <w:b/>
          <w:sz w:val="24"/>
          <w:szCs w:val="24"/>
          <w:lang w:eastAsia="en-US"/>
        </w:rPr>
      </w:pPr>
      <w:bookmarkStart w:id="3" w:name="_Toc533979306"/>
      <w:bookmarkStart w:id="4" w:name="_Toc534027962"/>
      <w:r>
        <w:rPr>
          <w:rFonts w:ascii="Bookman Old Style" w:eastAsiaTheme="minorHAnsi" w:hAnsi="Bookman Old Style"/>
          <w:b/>
          <w:sz w:val="24"/>
          <w:szCs w:val="24"/>
          <w:lang w:eastAsia="en-US"/>
        </w:rPr>
        <w:t xml:space="preserve">NORME FONDAMENTALI </w:t>
      </w:r>
      <w:r w:rsidR="006E5836" w:rsidRPr="00015041">
        <w:rPr>
          <w:rFonts w:ascii="Bookman Old Style" w:eastAsiaTheme="minorHAnsi" w:hAnsi="Bookman Old Style"/>
          <w:b/>
          <w:sz w:val="24"/>
          <w:szCs w:val="24"/>
          <w:lang w:eastAsia="en-US"/>
        </w:rPr>
        <w:t>ACCORDO 29 NOV</w:t>
      </w:r>
      <w:r>
        <w:rPr>
          <w:rFonts w:ascii="Bookman Old Style" w:eastAsiaTheme="minorHAnsi" w:hAnsi="Bookman Old Style"/>
          <w:b/>
          <w:sz w:val="24"/>
          <w:szCs w:val="24"/>
          <w:lang w:eastAsia="en-US"/>
        </w:rPr>
        <w:t>EMBRE</w:t>
      </w:r>
      <w:r w:rsidR="006E5836" w:rsidRPr="00015041">
        <w:rPr>
          <w:rFonts w:ascii="Bookman Old Style" w:eastAsiaTheme="minorHAnsi" w:hAnsi="Bookman Old Style"/>
          <w:b/>
          <w:sz w:val="24"/>
          <w:szCs w:val="24"/>
          <w:lang w:eastAsia="en-US"/>
        </w:rPr>
        <w:t xml:space="preserve"> 2018</w:t>
      </w:r>
      <w:bookmarkEnd w:id="3"/>
      <w:bookmarkEnd w:id="4"/>
      <w:r w:rsidR="006E5836" w:rsidRPr="00015041">
        <w:rPr>
          <w:rFonts w:ascii="Bookman Old Style" w:eastAsiaTheme="minorHAnsi" w:hAnsi="Bookman Old Style"/>
          <w:b/>
          <w:sz w:val="24"/>
          <w:szCs w:val="24"/>
          <w:lang w:eastAsia="en-US"/>
        </w:rPr>
        <w:t xml:space="preserve"> </w:t>
      </w:r>
    </w:p>
    <w:p w:rsidR="00015041" w:rsidRPr="00015041" w:rsidRDefault="00015041" w:rsidP="00015041">
      <w:pPr>
        <w:rPr>
          <w:rFonts w:eastAsiaTheme="minorHAnsi"/>
          <w:lang w:eastAsia="en-US"/>
        </w:rPr>
      </w:pPr>
    </w:p>
    <w:p w:rsidR="00015041" w:rsidRPr="00015041" w:rsidRDefault="00015041" w:rsidP="00015041">
      <w:pPr>
        <w:pStyle w:val="Titolo2"/>
        <w:ind w:firstLine="0"/>
        <w:rPr>
          <w:rFonts w:ascii="Bookman Old Style" w:hAnsi="Bookman Old Style"/>
          <w:b/>
          <w:sz w:val="22"/>
          <w:szCs w:val="22"/>
        </w:rPr>
      </w:pPr>
      <w:bookmarkStart w:id="5" w:name="_Toc533979307"/>
      <w:bookmarkStart w:id="6" w:name="_Toc534027963"/>
      <w:r w:rsidRPr="00015041">
        <w:rPr>
          <w:rFonts w:ascii="Bookman Old Style" w:hAnsi="Bookman Old Style"/>
          <w:b/>
          <w:sz w:val="22"/>
          <w:szCs w:val="22"/>
        </w:rPr>
        <w:t xml:space="preserve">Imposta </w:t>
      </w:r>
      <w:r>
        <w:rPr>
          <w:rFonts w:ascii="Bookman Old Style" w:hAnsi="Bookman Old Style"/>
          <w:b/>
          <w:sz w:val="22"/>
          <w:szCs w:val="22"/>
        </w:rPr>
        <w:t>p</w:t>
      </w:r>
      <w:r w:rsidRPr="00015041">
        <w:rPr>
          <w:rFonts w:ascii="Bookman Old Style" w:hAnsi="Bookman Old Style"/>
          <w:b/>
          <w:sz w:val="22"/>
          <w:szCs w:val="22"/>
        </w:rPr>
        <w:t>ubblicità</w:t>
      </w:r>
      <w:r>
        <w:rPr>
          <w:rFonts w:ascii="Bookman Old Style" w:hAnsi="Bookman Old Style"/>
          <w:b/>
          <w:sz w:val="22"/>
          <w:szCs w:val="22"/>
        </w:rPr>
        <w:t xml:space="preserve"> comunale</w:t>
      </w:r>
      <w:r w:rsidR="009D199E">
        <w:rPr>
          <w:rFonts w:ascii="Bookman Old Style" w:hAnsi="Bookman Old Style"/>
          <w:b/>
          <w:sz w:val="22"/>
          <w:szCs w:val="22"/>
        </w:rPr>
        <w:t>–Rateizzazione rimborsi e ripristino maggiorazioni</w:t>
      </w:r>
      <w:bookmarkEnd w:id="5"/>
      <w:bookmarkEnd w:id="6"/>
    </w:p>
    <w:p w:rsidR="00015041" w:rsidRPr="009D199E" w:rsidRDefault="00015041" w:rsidP="009D199E">
      <w:pPr>
        <w:ind w:firstLine="0"/>
        <w:rPr>
          <w:rFonts w:ascii="Bookman Old Style" w:hAnsi="Bookman Old Style"/>
          <w:iCs/>
          <w:szCs w:val="22"/>
        </w:rPr>
      </w:pPr>
      <w:r w:rsidRPr="009D199E">
        <w:rPr>
          <w:rFonts w:ascii="Bookman Old Style" w:hAnsi="Bookman Old Style"/>
          <w:szCs w:val="22"/>
        </w:rPr>
        <w:t>Il</w:t>
      </w:r>
      <w:r w:rsidRPr="009D199E">
        <w:rPr>
          <w:rFonts w:ascii="Bookman Old Style" w:hAnsi="Bookman Old Style"/>
          <w:b/>
          <w:szCs w:val="22"/>
        </w:rPr>
        <w:t xml:space="preserve"> comma 917 </w:t>
      </w:r>
      <w:r w:rsidRPr="009D199E">
        <w:rPr>
          <w:rFonts w:ascii="Bookman Old Style" w:hAnsi="Bookman Old Style"/>
          <w:iCs/>
          <w:szCs w:val="22"/>
        </w:rPr>
        <w:t>consent</w:t>
      </w:r>
      <w:r w:rsidR="009D199E" w:rsidRPr="009D199E">
        <w:rPr>
          <w:rFonts w:ascii="Bookman Old Style" w:hAnsi="Bookman Old Style"/>
          <w:iCs/>
          <w:szCs w:val="22"/>
        </w:rPr>
        <w:t xml:space="preserve">e </w:t>
      </w:r>
      <w:r w:rsidRPr="009D199E">
        <w:rPr>
          <w:rFonts w:ascii="Bookman Old Style" w:hAnsi="Bookman Old Style"/>
          <w:iCs/>
          <w:szCs w:val="22"/>
        </w:rPr>
        <w:t xml:space="preserve">ai Comuni, in deroga alle norme </w:t>
      </w:r>
      <w:r w:rsidR="009D199E" w:rsidRPr="009D199E">
        <w:rPr>
          <w:rFonts w:ascii="Bookman Old Style" w:hAnsi="Bookman Old Style"/>
          <w:iCs/>
          <w:szCs w:val="22"/>
        </w:rPr>
        <w:t xml:space="preserve">di legge e regolamentari </w:t>
      </w:r>
      <w:r w:rsidRPr="009D199E">
        <w:rPr>
          <w:rFonts w:ascii="Bookman Old Style" w:hAnsi="Bookman Old Style"/>
          <w:iCs/>
          <w:szCs w:val="22"/>
        </w:rPr>
        <w:t xml:space="preserve">vigenti, di dilazionare </w:t>
      </w:r>
      <w:r w:rsidR="009D199E" w:rsidRPr="009D199E">
        <w:rPr>
          <w:rFonts w:ascii="Bookman Old Style" w:hAnsi="Bookman Old Style"/>
          <w:iCs/>
          <w:szCs w:val="22"/>
        </w:rPr>
        <w:t xml:space="preserve">i </w:t>
      </w:r>
      <w:r w:rsidRPr="009D199E">
        <w:rPr>
          <w:rFonts w:ascii="Bookman Old Style" w:hAnsi="Bookman Old Style"/>
          <w:iCs/>
          <w:szCs w:val="22"/>
        </w:rPr>
        <w:t>rimbors</w:t>
      </w:r>
      <w:r w:rsidR="009D199E" w:rsidRPr="009D199E">
        <w:rPr>
          <w:rFonts w:ascii="Bookman Old Style" w:hAnsi="Bookman Old Style"/>
          <w:iCs/>
          <w:szCs w:val="22"/>
        </w:rPr>
        <w:t>i</w:t>
      </w:r>
      <w:r w:rsidRPr="009D199E">
        <w:rPr>
          <w:rFonts w:ascii="Bookman Old Style" w:hAnsi="Bookman Old Style"/>
          <w:iCs/>
          <w:szCs w:val="22"/>
        </w:rPr>
        <w:t xml:space="preserve"> delle maggiorazioni dell’imposta sulla pubblicità</w:t>
      </w:r>
      <w:r w:rsidR="009D199E" w:rsidRPr="009D199E">
        <w:rPr>
          <w:rFonts w:ascii="Bookman Old Style" w:hAnsi="Bookman Old Style"/>
          <w:iCs/>
          <w:szCs w:val="22"/>
        </w:rPr>
        <w:t>,</w:t>
      </w:r>
      <w:r w:rsidRPr="009D199E">
        <w:rPr>
          <w:rFonts w:ascii="Bookman Old Style" w:hAnsi="Bookman Old Style"/>
          <w:iCs/>
          <w:szCs w:val="22"/>
        </w:rPr>
        <w:t xml:space="preserve"> </w:t>
      </w:r>
      <w:r w:rsidR="009D199E" w:rsidRPr="009D199E">
        <w:rPr>
          <w:rFonts w:ascii="Bookman Old Style" w:hAnsi="Bookman Old Style"/>
          <w:iCs/>
          <w:szCs w:val="22"/>
        </w:rPr>
        <w:t xml:space="preserve">pagate </w:t>
      </w:r>
      <w:r w:rsidRPr="009D199E">
        <w:rPr>
          <w:rFonts w:ascii="Bookman Old Style" w:hAnsi="Bookman Old Style"/>
          <w:iCs/>
          <w:szCs w:val="22"/>
        </w:rPr>
        <w:t>negli anni 2013-18</w:t>
      </w:r>
      <w:r w:rsidR="009D199E" w:rsidRPr="009D199E">
        <w:rPr>
          <w:rFonts w:ascii="Bookman Old Style" w:hAnsi="Bookman Old Style"/>
          <w:iCs/>
          <w:szCs w:val="22"/>
        </w:rPr>
        <w:t xml:space="preserve"> e </w:t>
      </w:r>
      <w:r w:rsidRPr="009D199E">
        <w:rPr>
          <w:rFonts w:ascii="Bookman Old Style" w:hAnsi="Bookman Old Style"/>
          <w:iCs/>
          <w:szCs w:val="22"/>
        </w:rPr>
        <w:t>rese inefficaci dalla sentenza della Corte Costituzionale n. 15 del 2018, con pagamenti rateali</w:t>
      </w:r>
      <w:r w:rsidR="009D199E" w:rsidRPr="009D199E">
        <w:rPr>
          <w:rFonts w:ascii="Bookman Old Style" w:hAnsi="Bookman Old Style"/>
          <w:iCs/>
          <w:szCs w:val="22"/>
        </w:rPr>
        <w:t xml:space="preserve"> </w:t>
      </w:r>
      <w:r w:rsidRPr="009D199E">
        <w:rPr>
          <w:rFonts w:ascii="Bookman Old Style" w:hAnsi="Bookman Old Style"/>
          <w:iCs/>
          <w:szCs w:val="22"/>
        </w:rPr>
        <w:t xml:space="preserve">entro </w:t>
      </w:r>
      <w:r w:rsidR="009D199E" w:rsidRPr="009D199E">
        <w:rPr>
          <w:rFonts w:ascii="Bookman Old Style" w:hAnsi="Bookman Old Style"/>
          <w:iCs/>
          <w:szCs w:val="22"/>
        </w:rPr>
        <w:t xml:space="preserve">un </w:t>
      </w:r>
      <w:r w:rsidRPr="009D199E">
        <w:rPr>
          <w:rFonts w:ascii="Bookman Old Style" w:hAnsi="Bookman Old Style"/>
          <w:iCs/>
          <w:szCs w:val="22"/>
        </w:rPr>
        <w:t xml:space="preserve">massimo </w:t>
      </w:r>
      <w:r w:rsidR="009D199E" w:rsidRPr="009D199E">
        <w:rPr>
          <w:rFonts w:ascii="Bookman Old Style" w:hAnsi="Bookman Old Style"/>
          <w:iCs/>
          <w:szCs w:val="22"/>
        </w:rPr>
        <w:t xml:space="preserve">di </w:t>
      </w:r>
      <w:r w:rsidRPr="009D199E">
        <w:rPr>
          <w:rFonts w:ascii="Bookman Old Style" w:hAnsi="Bookman Old Style"/>
          <w:iCs/>
          <w:szCs w:val="22"/>
        </w:rPr>
        <w:t xml:space="preserve">cinque anni dal momento in cui la richiesta dei contribuenti è diventata definitiva. </w:t>
      </w:r>
    </w:p>
    <w:p w:rsidR="00015041" w:rsidRPr="009D199E" w:rsidRDefault="009D199E" w:rsidP="00015041">
      <w:pPr>
        <w:tabs>
          <w:tab w:val="left" w:pos="3285"/>
        </w:tabs>
        <w:spacing w:before="60" w:after="60" w:line="240" w:lineRule="auto"/>
        <w:ind w:firstLine="0"/>
        <w:rPr>
          <w:rFonts w:ascii="Bookman Old Style" w:hAnsi="Bookman Old Style"/>
          <w:iCs/>
          <w:szCs w:val="22"/>
        </w:rPr>
      </w:pPr>
      <w:r w:rsidRPr="009D199E">
        <w:rPr>
          <w:rFonts w:ascii="Bookman Old Style" w:hAnsi="Bookman Old Style"/>
          <w:iCs/>
          <w:szCs w:val="22"/>
        </w:rPr>
        <w:t xml:space="preserve">Il </w:t>
      </w:r>
      <w:r w:rsidRPr="009D199E">
        <w:rPr>
          <w:rFonts w:ascii="Bookman Old Style" w:hAnsi="Bookman Old Style"/>
          <w:b/>
          <w:iCs/>
          <w:szCs w:val="22"/>
        </w:rPr>
        <w:t>comma 919</w:t>
      </w:r>
      <w:r w:rsidRPr="009D199E">
        <w:rPr>
          <w:rFonts w:ascii="Bookman Old Style" w:hAnsi="Bookman Old Style"/>
          <w:iCs/>
          <w:szCs w:val="22"/>
        </w:rPr>
        <w:t xml:space="preserve"> inoltre, ripristina </w:t>
      </w:r>
      <w:r w:rsidR="00015041" w:rsidRPr="009D199E">
        <w:rPr>
          <w:rFonts w:ascii="Bookman Old Style" w:hAnsi="Bookman Old Style"/>
          <w:iCs/>
          <w:szCs w:val="22"/>
        </w:rPr>
        <w:t xml:space="preserve">la facoltà di tutti i comuni di prevedere </w:t>
      </w:r>
      <w:r w:rsidRPr="009D199E">
        <w:rPr>
          <w:rFonts w:ascii="Bookman Old Style" w:hAnsi="Bookman Old Style"/>
          <w:iCs/>
          <w:szCs w:val="22"/>
        </w:rPr>
        <w:t xml:space="preserve">una maggiorazione fino al 50% delle tariffe di cui al d.lgs. 507 del 1993, </w:t>
      </w:r>
      <w:r w:rsidR="00015041" w:rsidRPr="009D199E">
        <w:rPr>
          <w:rFonts w:ascii="Bookman Old Style" w:hAnsi="Bookman Old Style"/>
          <w:iCs/>
          <w:szCs w:val="22"/>
        </w:rPr>
        <w:t xml:space="preserve">per le superfici superiori al metro quadrato soggette all’imposta comunale sulla pubblicità e al diritto sulle pubbliche affissioni. </w:t>
      </w:r>
    </w:p>
    <w:p w:rsidR="00015041" w:rsidRPr="00051A6E" w:rsidRDefault="00015041" w:rsidP="00015041">
      <w:pPr>
        <w:tabs>
          <w:tab w:val="left" w:pos="3285"/>
        </w:tabs>
        <w:spacing w:before="60" w:after="60" w:line="240" w:lineRule="auto"/>
        <w:ind w:firstLine="0"/>
        <w:rPr>
          <w:rFonts w:ascii="Bookman Old Style" w:hAnsi="Bookman Old Style"/>
          <w:b/>
          <w:iCs/>
          <w:szCs w:val="22"/>
        </w:rPr>
      </w:pPr>
    </w:p>
    <w:p w:rsidR="00AD2D56" w:rsidRPr="00036521" w:rsidRDefault="00AD2D56" w:rsidP="00AD2D56">
      <w:pPr>
        <w:pStyle w:val="Titolo2"/>
        <w:ind w:firstLine="0"/>
        <w:rPr>
          <w:rFonts w:ascii="Bookman Old Style" w:hAnsi="Bookman Old Style"/>
          <w:b/>
          <w:sz w:val="22"/>
          <w:szCs w:val="22"/>
        </w:rPr>
      </w:pPr>
      <w:bookmarkStart w:id="7" w:name="_Toc533777801"/>
      <w:bookmarkStart w:id="8" w:name="_Toc533979308"/>
      <w:bookmarkStart w:id="9" w:name="_Toc534027964"/>
      <w:r w:rsidRPr="00036521">
        <w:rPr>
          <w:rFonts w:ascii="Bookman Old Style" w:hAnsi="Bookman Old Style"/>
          <w:b/>
          <w:sz w:val="22"/>
          <w:szCs w:val="22"/>
        </w:rPr>
        <w:t>Maggiorazione TASI</w:t>
      </w:r>
      <w:bookmarkEnd w:id="7"/>
      <w:bookmarkEnd w:id="8"/>
      <w:bookmarkEnd w:id="9"/>
    </w:p>
    <w:p w:rsidR="00AD2D56" w:rsidRDefault="00AD2D56" w:rsidP="00AD2D56">
      <w:pPr>
        <w:ind w:firstLine="0"/>
        <w:rPr>
          <w:rFonts w:ascii="Bookman Old Style" w:hAnsi="Bookman Old Style"/>
          <w:szCs w:val="22"/>
        </w:rPr>
      </w:pPr>
      <w:r w:rsidRPr="00AD2D56">
        <w:rPr>
          <w:rFonts w:ascii="Bookman Old Style" w:hAnsi="Bookman Old Style"/>
          <w:szCs w:val="22"/>
        </w:rPr>
        <w:t xml:space="preserve">Il </w:t>
      </w:r>
      <w:r w:rsidRPr="00AD2D56">
        <w:rPr>
          <w:rFonts w:ascii="Bookman Old Style" w:hAnsi="Bookman Old Style"/>
          <w:b/>
          <w:szCs w:val="22"/>
        </w:rPr>
        <w:t>comma 1133, lettera b)</w:t>
      </w:r>
      <w:r w:rsidRPr="00AD2D56">
        <w:rPr>
          <w:rFonts w:ascii="Bookman Old Style" w:hAnsi="Bookman Old Style"/>
          <w:szCs w:val="22"/>
        </w:rPr>
        <w:t xml:space="preserve"> consente ai Comuni di confermare anche per l’anno 2019 la stessa maggiorazione della TASI già disposta per gli anni 2016-2018 con delibera del consiglio comunale. </w:t>
      </w:r>
    </w:p>
    <w:p w:rsidR="00AD2D56" w:rsidRPr="00AD2D56" w:rsidRDefault="00AD2D56" w:rsidP="00AD2D56">
      <w:pPr>
        <w:ind w:firstLine="0"/>
        <w:rPr>
          <w:rFonts w:ascii="Bookman Old Style" w:hAnsi="Bookman Old Style"/>
          <w:szCs w:val="22"/>
        </w:rPr>
      </w:pPr>
      <w:r w:rsidRPr="00AD2D56">
        <w:rPr>
          <w:rFonts w:ascii="Bookman Old Style" w:hAnsi="Bookman Old Style"/>
          <w:szCs w:val="22"/>
        </w:rPr>
        <w:t>Viene prorogato anche per il 2019 lo stesso dispositivo “straordinario” (co.</w:t>
      </w:r>
      <w:r w:rsidRPr="00AD2D56">
        <w:rPr>
          <w:rFonts w:ascii="Bookman Old Style" w:hAnsi="Bookman Old Style" w:cs="Arial"/>
          <w:bCs/>
          <w:color w:val="333333"/>
          <w:szCs w:val="22"/>
          <w:shd w:val="clear" w:color="auto" w:fill="FFFFFF"/>
        </w:rPr>
        <w:t>28, della legge n. 208 del 2015) che ha consentito a oltre 2mila Comuni di mantenere, anche in regime di blocco della leva fiscale, una cospicua quota del gettito non recuperabile a seguito dell’abolizione dell’IMU sull’abitazione principale e dell’introduzione della Tasi con più r</w:t>
      </w:r>
      <w:r>
        <w:rPr>
          <w:rFonts w:ascii="Bookman Old Style" w:hAnsi="Bookman Old Style" w:cs="Arial"/>
          <w:bCs/>
          <w:color w:val="333333"/>
          <w:szCs w:val="22"/>
          <w:shd w:val="clear" w:color="auto" w:fill="FFFFFF"/>
        </w:rPr>
        <w:t>es</w:t>
      </w:r>
      <w:r w:rsidRPr="00AD2D56">
        <w:rPr>
          <w:rFonts w:ascii="Bookman Old Style" w:hAnsi="Bookman Old Style" w:cs="Arial"/>
          <w:bCs/>
          <w:color w:val="333333"/>
          <w:szCs w:val="22"/>
          <w:shd w:val="clear" w:color="auto" w:fill="FFFFFF"/>
        </w:rPr>
        <w:t xml:space="preserve">trittivi criteri di fissazione delle aliquote. </w:t>
      </w:r>
      <w:r w:rsidRPr="00AD2D56">
        <w:rPr>
          <w:rFonts w:ascii="Bookman Old Style" w:hAnsi="Bookman Old Style"/>
          <w:szCs w:val="22"/>
        </w:rPr>
        <w:t xml:space="preserve"> Si tratta in realtà di risorse struttural</w:t>
      </w:r>
      <w:r>
        <w:rPr>
          <w:rFonts w:ascii="Bookman Old Style" w:hAnsi="Bookman Old Style"/>
          <w:szCs w:val="22"/>
        </w:rPr>
        <w:t>i</w:t>
      </w:r>
      <w:r w:rsidRPr="00AD2D56">
        <w:rPr>
          <w:rFonts w:ascii="Bookman Old Style" w:hAnsi="Bookman Old Style"/>
          <w:szCs w:val="22"/>
        </w:rPr>
        <w:t xml:space="preserve">, che </w:t>
      </w:r>
      <w:r>
        <w:rPr>
          <w:rFonts w:ascii="Bookman Old Style" w:hAnsi="Bookman Old Style"/>
          <w:szCs w:val="22"/>
        </w:rPr>
        <w:t>–</w:t>
      </w:r>
      <w:r w:rsidRPr="00AD2D56">
        <w:rPr>
          <w:rFonts w:ascii="Bookman Old Style" w:hAnsi="Bookman Old Style"/>
          <w:szCs w:val="22"/>
        </w:rPr>
        <w:t xml:space="preserve">come il Fondo IMU-Tasi di cui al punto successivo </w:t>
      </w:r>
      <w:r>
        <w:rPr>
          <w:rFonts w:ascii="Bookman Old Style" w:hAnsi="Bookman Old Style"/>
          <w:szCs w:val="22"/>
        </w:rPr>
        <w:t xml:space="preserve">– </w:t>
      </w:r>
      <w:r w:rsidRPr="00AD2D56">
        <w:rPr>
          <w:rFonts w:ascii="Bookman Old Style" w:hAnsi="Bookman Old Style"/>
          <w:szCs w:val="22"/>
        </w:rPr>
        <w:t>dovranno essere stabilizzate o riconsiderate in un nuovo quadro dei tributi comunali</w:t>
      </w:r>
      <w:r>
        <w:rPr>
          <w:rFonts w:ascii="Bookman Old Style" w:hAnsi="Bookman Old Style"/>
          <w:szCs w:val="22"/>
        </w:rPr>
        <w:t>.</w:t>
      </w:r>
    </w:p>
    <w:p w:rsidR="00AD2D56" w:rsidRDefault="00AD2D56" w:rsidP="009D199E">
      <w:pPr>
        <w:pStyle w:val="Titolo2"/>
        <w:ind w:firstLine="0"/>
        <w:rPr>
          <w:rFonts w:ascii="Bookman Old Style" w:hAnsi="Bookman Old Style"/>
          <w:b/>
          <w:sz w:val="22"/>
          <w:szCs w:val="22"/>
        </w:rPr>
      </w:pPr>
    </w:p>
    <w:p w:rsidR="009D199E" w:rsidRPr="009D199E" w:rsidRDefault="009D199E" w:rsidP="009D199E">
      <w:pPr>
        <w:pStyle w:val="Titolo2"/>
        <w:ind w:firstLine="0"/>
        <w:rPr>
          <w:rFonts w:ascii="Bookman Old Style" w:hAnsi="Bookman Old Style"/>
          <w:b/>
          <w:sz w:val="22"/>
          <w:szCs w:val="22"/>
        </w:rPr>
      </w:pPr>
      <w:bookmarkStart w:id="10" w:name="_Toc533979309"/>
      <w:bookmarkStart w:id="11" w:name="_Toc534027965"/>
      <w:r w:rsidRPr="009D199E">
        <w:rPr>
          <w:rFonts w:ascii="Bookman Old Style" w:hAnsi="Bookman Old Style"/>
          <w:b/>
          <w:sz w:val="22"/>
          <w:szCs w:val="22"/>
        </w:rPr>
        <w:t>Fondo IMU-Tasi – Ripristino parziale (190 milioni)</w:t>
      </w:r>
      <w:bookmarkEnd w:id="10"/>
      <w:bookmarkEnd w:id="11"/>
      <w:r w:rsidRPr="009D199E">
        <w:rPr>
          <w:rFonts w:ascii="Bookman Old Style" w:hAnsi="Bookman Old Style"/>
          <w:b/>
          <w:sz w:val="22"/>
          <w:szCs w:val="22"/>
        </w:rPr>
        <w:t xml:space="preserve">  </w:t>
      </w:r>
    </w:p>
    <w:p w:rsidR="00E04476" w:rsidRDefault="009D199E" w:rsidP="009D199E">
      <w:pPr>
        <w:shd w:val="clear" w:color="auto" w:fill="FFFFFF"/>
        <w:ind w:firstLine="0"/>
        <w:rPr>
          <w:rFonts w:ascii="Bookman Old Style" w:hAnsi="Bookman Old Style"/>
        </w:rPr>
      </w:pPr>
      <w:r w:rsidRPr="009D199E">
        <w:rPr>
          <w:rFonts w:ascii="Bookman Old Style" w:hAnsi="Bookman Old Style"/>
        </w:rPr>
        <w:t xml:space="preserve">I </w:t>
      </w:r>
      <w:r w:rsidRPr="009D199E">
        <w:rPr>
          <w:rFonts w:ascii="Bookman Old Style" w:hAnsi="Bookman Old Style"/>
          <w:b/>
        </w:rPr>
        <w:t>commi 892-895</w:t>
      </w:r>
      <w:r w:rsidRPr="009D199E">
        <w:rPr>
          <w:rFonts w:ascii="Bookman Old Style" w:hAnsi="Bookman Old Style"/>
        </w:rPr>
        <w:t xml:space="preserve"> </w:t>
      </w:r>
      <w:r>
        <w:rPr>
          <w:rFonts w:ascii="Bookman Old Style" w:hAnsi="Bookman Old Style"/>
        </w:rPr>
        <w:t xml:space="preserve">prevedono l’erogazione di un </w:t>
      </w:r>
      <w:r w:rsidR="00117EBE">
        <w:rPr>
          <w:rFonts w:ascii="Bookman Old Style" w:hAnsi="Bookman Old Style"/>
        </w:rPr>
        <w:t>contributo</w:t>
      </w:r>
      <w:r>
        <w:rPr>
          <w:rFonts w:ascii="Bookman Old Style" w:hAnsi="Bookman Old Style"/>
        </w:rPr>
        <w:t xml:space="preserve"> </w:t>
      </w:r>
      <w:r w:rsidR="00E04476">
        <w:rPr>
          <w:rFonts w:ascii="Bookman Old Style" w:hAnsi="Bookman Old Style"/>
          <w:szCs w:val="22"/>
        </w:rPr>
        <w:t>“</w:t>
      </w:r>
      <w:r w:rsidRPr="00E04476">
        <w:rPr>
          <w:rFonts w:ascii="Bookman Old Style" w:hAnsi="Bookman Old Style" w:cs="Arial"/>
          <w:bCs/>
          <w:i/>
          <w:color w:val="333333"/>
          <w:szCs w:val="22"/>
          <w:shd w:val="clear" w:color="auto" w:fill="FFFFFF"/>
        </w:rPr>
        <w:t>a titolo di ristoro del gettito non più acquisibile dai comuni a seguito dell'introduzione della TASI</w:t>
      </w:r>
      <w:r w:rsidR="00E04476" w:rsidRPr="00E04476">
        <w:rPr>
          <w:rFonts w:ascii="Bookman Old Style" w:hAnsi="Bookman Old Style" w:cs="Arial"/>
          <w:bCs/>
          <w:color w:val="333333"/>
          <w:szCs w:val="22"/>
          <w:shd w:val="clear" w:color="auto" w:fill="FFFFFF"/>
        </w:rPr>
        <w:t>”</w:t>
      </w:r>
      <w:r w:rsidR="00E04476">
        <w:rPr>
          <w:rFonts w:cs="Arial"/>
          <w:b/>
          <w:bCs/>
          <w:color w:val="333333"/>
          <w:sz w:val="20"/>
          <w:shd w:val="clear" w:color="auto" w:fill="FFFFFF"/>
        </w:rPr>
        <w:t xml:space="preserve"> </w:t>
      </w:r>
      <w:r w:rsidRPr="001B41BD">
        <w:rPr>
          <w:rFonts w:ascii="Bookman Old Style" w:hAnsi="Bookman Old Style"/>
        </w:rPr>
        <w:t>per ciascuno degli anni dal 2019 al 2033</w:t>
      </w:r>
      <w:r w:rsidR="00E04476">
        <w:rPr>
          <w:rFonts w:ascii="Bookman Old Style" w:hAnsi="Bookman Old Style"/>
        </w:rPr>
        <w:t>. Il fondo viene quantificato in 190 milioni annui ed è</w:t>
      </w:r>
      <w:r w:rsidRPr="001B41BD">
        <w:rPr>
          <w:rFonts w:ascii="Bookman Old Style" w:hAnsi="Bookman Old Style"/>
        </w:rPr>
        <w:t xml:space="preserve"> attribuito ai comuni interessati </w:t>
      </w:r>
      <w:r w:rsidR="00E04476">
        <w:rPr>
          <w:rFonts w:ascii="Bookman Old Style" w:hAnsi="Bookman Old Style"/>
        </w:rPr>
        <w:t>(circa 1.800)</w:t>
      </w:r>
      <w:r w:rsidR="007869E1">
        <w:rPr>
          <w:rFonts w:ascii="Bookman Old Style" w:hAnsi="Bookman Old Style"/>
        </w:rPr>
        <w:t xml:space="preserve">, </w:t>
      </w:r>
      <w:r w:rsidR="007869E1" w:rsidRPr="001B41BD">
        <w:rPr>
          <w:rFonts w:ascii="Bookman Old Style" w:hAnsi="Bookman Old Style"/>
        </w:rPr>
        <w:t>previa intesa in Conferenza Stato-città ed autonomie locali</w:t>
      </w:r>
      <w:r w:rsidR="000D5805">
        <w:rPr>
          <w:rFonts w:ascii="Bookman Old Style" w:hAnsi="Bookman Old Style"/>
        </w:rPr>
        <w:t xml:space="preserve">, con decreto </w:t>
      </w:r>
      <w:r w:rsidR="007869E1" w:rsidRPr="001B41BD">
        <w:rPr>
          <w:rFonts w:ascii="Bookman Old Style" w:hAnsi="Bookman Old Style"/>
        </w:rPr>
        <w:t xml:space="preserve">da emanarsi entro il 20 gennaio 2019, </w:t>
      </w:r>
      <w:r w:rsidR="00E04476">
        <w:rPr>
          <w:rFonts w:ascii="Bookman Old Style" w:hAnsi="Bookman Old Style"/>
        </w:rPr>
        <w:t xml:space="preserve"> secondo gli stessi criteri seguiti negli scorsi </w:t>
      </w:r>
      <w:r w:rsidR="000D5805">
        <w:rPr>
          <w:rFonts w:ascii="Bookman Old Style" w:hAnsi="Bookman Old Style"/>
        </w:rPr>
        <w:t xml:space="preserve">anni </w:t>
      </w:r>
      <w:r w:rsidR="00E04476">
        <w:rPr>
          <w:rFonts w:ascii="Bookman Old Style" w:hAnsi="Bookman Old Style"/>
        </w:rPr>
        <w:t>e</w:t>
      </w:r>
      <w:r w:rsidR="000D5805">
        <w:rPr>
          <w:rFonts w:ascii="Bookman Old Style" w:hAnsi="Bookman Old Style"/>
        </w:rPr>
        <w:t>,</w:t>
      </w:r>
      <w:r w:rsidR="00E04476">
        <w:rPr>
          <w:rFonts w:ascii="Bookman Old Style" w:hAnsi="Bookman Old Style"/>
        </w:rPr>
        <w:t xml:space="preserve"> quindi</w:t>
      </w:r>
      <w:r w:rsidR="000D5805">
        <w:rPr>
          <w:rFonts w:ascii="Bookman Old Style" w:hAnsi="Bookman Old Style"/>
        </w:rPr>
        <w:t>,</w:t>
      </w:r>
      <w:r w:rsidR="00E04476">
        <w:rPr>
          <w:rFonts w:ascii="Bookman Old Style" w:hAnsi="Bookman Old Style"/>
        </w:rPr>
        <w:t xml:space="preserve"> in proporzione del gettito non più acquisibile a seguito del passaggio IMU-Tasi, come certificato dal Ministero dell’economia e delle finanze </w:t>
      </w:r>
      <w:r w:rsidR="007869E1">
        <w:rPr>
          <w:rFonts w:ascii="Bookman Old Style" w:hAnsi="Bookman Old Style"/>
        </w:rPr>
        <w:t xml:space="preserve">(DM 6 novembre 2014) </w:t>
      </w:r>
      <w:r w:rsidR="00E04476">
        <w:rPr>
          <w:rFonts w:ascii="Bookman Old Style" w:hAnsi="Bookman Old Style"/>
        </w:rPr>
        <w:t>ed indicato, da ultimo</w:t>
      </w:r>
      <w:r w:rsidR="007869E1">
        <w:rPr>
          <w:rFonts w:ascii="Bookman Old Style" w:hAnsi="Bookman Old Style"/>
        </w:rPr>
        <w:t xml:space="preserve">, </w:t>
      </w:r>
      <w:r w:rsidR="007869E1" w:rsidRPr="001B41BD">
        <w:rPr>
          <w:rFonts w:ascii="Bookman Old Style" w:hAnsi="Bookman Old Style"/>
        </w:rPr>
        <w:t>alla tabella B allegata al decreto de</w:t>
      </w:r>
      <w:r w:rsidR="00DD6D24">
        <w:rPr>
          <w:rFonts w:ascii="Bookman Old Style" w:hAnsi="Bookman Old Style"/>
        </w:rPr>
        <w:t>l Presidente del Consiglio dei M</w:t>
      </w:r>
      <w:r w:rsidR="007869E1" w:rsidRPr="001B41BD">
        <w:rPr>
          <w:rFonts w:ascii="Bookman Old Style" w:hAnsi="Bookman Old Style"/>
        </w:rPr>
        <w:t>inistri 10 marzo 2017</w:t>
      </w:r>
      <w:r w:rsidR="007869E1">
        <w:rPr>
          <w:rFonts w:ascii="Bookman Old Style" w:hAnsi="Bookman Old Style"/>
        </w:rPr>
        <w:t>.</w:t>
      </w:r>
    </w:p>
    <w:p w:rsidR="009D199E" w:rsidRDefault="00E04476" w:rsidP="009D199E">
      <w:pPr>
        <w:shd w:val="clear" w:color="auto" w:fill="FFFFFF"/>
        <w:ind w:firstLine="0"/>
        <w:rPr>
          <w:rFonts w:ascii="Bookman Old Style" w:hAnsi="Bookman Old Style"/>
        </w:rPr>
      </w:pPr>
      <w:r>
        <w:rPr>
          <w:rFonts w:ascii="Bookman Old Style" w:hAnsi="Bookman Old Style"/>
        </w:rPr>
        <w:t>Le somme attribuite hanno quale vincolo di destinazione i</w:t>
      </w:r>
      <w:r w:rsidR="009D199E" w:rsidRPr="001B41BD">
        <w:rPr>
          <w:rFonts w:ascii="Bookman Old Style" w:hAnsi="Bookman Old Style"/>
        </w:rPr>
        <w:t xml:space="preserve">l </w:t>
      </w:r>
      <w:r>
        <w:rPr>
          <w:rFonts w:ascii="Bookman Old Style" w:hAnsi="Bookman Old Style"/>
        </w:rPr>
        <w:t>“</w:t>
      </w:r>
      <w:r w:rsidR="009D199E" w:rsidRPr="00E04476">
        <w:rPr>
          <w:rFonts w:ascii="Bookman Old Style" w:hAnsi="Bookman Old Style"/>
          <w:i/>
        </w:rPr>
        <w:t xml:space="preserve">finanziamento di piani di sicurezza a valenza pluriennale finalizzati </w:t>
      </w:r>
      <w:r w:rsidR="009D199E" w:rsidRPr="007869E1">
        <w:rPr>
          <w:rFonts w:ascii="Bookman Old Style" w:hAnsi="Bookman Old Style"/>
          <w:i/>
          <w:u w:val="single"/>
        </w:rPr>
        <w:t>alla manutenzione</w:t>
      </w:r>
      <w:r w:rsidR="009D199E" w:rsidRPr="00E04476">
        <w:rPr>
          <w:rFonts w:ascii="Bookman Old Style" w:hAnsi="Bookman Old Style"/>
          <w:i/>
        </w:rPr>
        <w:t xml:space="preserve"> di strade, scuole ed altre strutture di proprietà comunale</w:t>
      </w:r>
      <w:r>
        <w:rPr>
          <w:rFonts w:ascii="Bookman Old Style" w:hAnsi="Bookman Old Style"/>
        </w:rPr>
        <w:t>”</w:t>
      </w:r>
      <w:r w:rsidR="007869E1">
        <w:rPr>
          <w:rFonts w:ascii="Bookman Old Style" w:hAnsi="Bookman Old Style"/>
        </w:rPr>
        <w:t xml:space="preserve"> </w:t>
      </w:r>
      <w:r w:rsidR="00113D9F">
        <w:rPr>
          <w:rFonts w:ascii="Bookman Old Style" w:hAnsi="Bookman Old Style"/>
        </w:rPr>
        <w:t xml:space="preserve">(co. 892) </w:t>
      </w:r>
      <w:r w:rsidR="007869E1">
        <w:rPr>
          <w:rFonts w:ascii="Bookman Old Style" w:hAnsi="Bookman Old Style"/>
        </w:rPr>
        <w:t xml:space="preserve">e devono risultare liquidate o liquidabili a norma del d.lgs. n. 118/2011 </w:t>
      </w:r>
      <w:r w:rsidR="007869E1" w:rsidRPr="001B41BD">
        <w:rPr>
          <w:rFonts w:ascii="Bookman Old Style" w:hAnsi="Bookman Old Style"/>
        </w:rPr>
        <w:t>entro il 31 dicembre di ogni anno</w:t>
      </w:r>
      <w:r w:rsidR="009D199E" w:rsidRPr="001B41BD">
        <w:rPr>
          <w:rFonts w:ascii="Bookman Old Style" w:hAnsi="Bookman Old Style"/>
        </w:rPr>
        <w:t xml:space="preserve">. </w:t>
      </w:r>
    </w:p>
    <w:p w:rsidR="00113D9F" w:rsidRDefault="007869E1" w:rsidP="009D199E">
      <w:pPr>
        <w:shd w:val="clear" w:color="auto" w:fill="FFFFFF"/>
        <w:ind w:firstLine="0"/>
        <w:rPr>
          <w:rFonts w:ascii="Bookman Old Style" w:hAnsi="Bookman Old Style"/>
        </w:rPr>
      </w:pPr>
      <w:r>
        <w:rPr>
          <w:rFonts w:ascii="Bookman Old Style" w:hAnsi="Bookman Old Style"/>
        </w:rPr>
        <w:t xml:space="preserve">Se appare chiara la finalità degli interventi </w:t>
      </w:r>
      <w:r w:rsidR="00436CB3">
        <w:rPr>
          <w:rFonts w:ascii="Bookman Old Style" w:hAnsi="Bookman Old Style"/>
        </w:rPr>
        <w:t xml:space="preserve">per </w:t>
      </w:r>
      <w:r>
        <w:rPr>
          <w:rFonts w:ascii="Bookman Old Style" w:hAnsi="Bookman Old Style"/>
        </w:rPr>
        <w:t xml:space="preserve">spese di manutenzione, siano esse di natura ordinaria o straordinaria, suscita </w:t>
      </w:r>
      <w:r w:rsidR="00113D9F">
        <w:rPr>
          <w:rFonts w:ascii="Bookman Old Style" w:hAnsi="Bookman Old Style"/>
        </w:rPr>
        <w:t xml:space="preserve">gravi </w:t>
      </w:r>
      <w:r>
        <w:rPr>
          <w:rFonts w:ascii="Bookman Old Style" w:hAnsi="Bookman Old Style"/>
        </w:rPr>
        <w:t xml:space="preserve">perplessità il richiamo del comma 895 </w:t>
      </w:r>
      <w:r w:rsidR="00113D9F">
        <w:rPr>
          <w:rFonts w:ascii="Bookman Old Style" w:hAnsi="Bookman Old Style"/>
        </w:rPr>
        <w:t>che dispone: “</w:t>
      </w:r>
      <w:r w:rsidR="00113D9F" w:rsidRPr="00B629BC">
        <w:rPr>
          <w:rFonts w:ascii="Bookman Old Style" w:hAnsi="Bookman Old Style"/>
          <w:i/>
        </w:rPr>
        <w:t xml:space="preserve">Il monitoraggio </w:t>
      </w:r>
      <w:r w:rsidR="00113D9F" w:rsidRPr="00B629BC">
        <w:rPr>
          <w:rFonts w:ascii="Bookman Old Style" w:hAnsi="Bookman Old Style"/>
          <w:i/>
          <w:u w:val="single"/>
        </w:rPr>
        <w:t>delle opere pubbliche</w:t>
      </w:r>
      <w:r w:rsidR="00113D9F" w:rsidRPr="00B629BC">
        <w:rPr>
          <w:rFonts w:ascii="Bookman Old Style" w:hAnsi="Bookman Old Style"/>
          <w:i/>
        </w:rPr>
        <w:t xml:space="preserve"> di cui ai commi da 892 a 893 è effettuato dai comuni beneficiari</w:t>
      </w:r>
      <w:r w:rsidR="00113D9F">
        <w:rPr>
          <w:rFonts w:ascii="Bookman Old Style" w:hAnsi="Bookman Old Style"/>
        </w:rPr>
        <w:t>”</w:t>
      </w:r>
      <w:r w:rsidR="00113D9F" w:rsidRPr="00113D9F">
        <w:rPr>
          <w:rFonts w:ascii="Bookman Old Style" w:hAnsi="Bookman Old Style"/>
        </w:rPr>
        <w:t xml:space="preserve"> attraverso il sistema </w:t>
      </w:r>
      <w:r w:rsidR="00113D9F">
        <w:rPr>
          <w:rFonts w:ascii="Bookman Old Style" w:hAnsi="Bookman Old Style"/>
        </w:rPr>
        <w:t xml:space="preserve">BDAP-MOP (d.lgs. n.229 del 2011) e indica quale classificazione </w:t>
      </w:r>
      <w:r w:rsidR="00113D9F" w:rsidRPr="00113D9F">
        <w:rPr>
          <w:rFonts w:ascii="Bookman Old Style" w:hAnsi="Bookman Old Style"/>
        </w:rPr>
        <w:t>la voce «</w:t>
      </w:r>
      <w:r w:rsidR="00113D9F" w:rsidRPr="00113D9F">
        <w:rPr>
          <w:rFonts w:ascii="Bookman Old Style" w:hAnsi="Bookman Old Style"/>
          <w:u w:val="single"/>
        </w:rPr>
        <w:t>Contributo investimenti</w:t>
      </w:r>
      <w:r w:rsidR="00113D9F" w:rsidRPr="00113D9F">
        <w:rPr>
          <w:rFonts w:ascii="Bookman Old Style" w:hAnsi="Bookman Old Style"/>
        </w:rPr>
        <w:t xml:space="preserve"> Legge di bilancio 2019».</w:t>
      </w:r>
    </w:p>
    <w:p w:rsidR="00113D9F" w:rsidRDefault="00113D9F" w:rsidP="009D199E">
      <w:pPr>
        <w:shd w:val="clear" w:color="auto" w:fill="FFFFFF"/>
        <w:ind w:firstLine="0"/>
        <w:rPr>
          <w:rFonts w:ascii="Bookman Old Style" w:hAnsi="Bookman Old Style"/>
        </w:rPr>
      </w:pPr>
      <w:r>
        <w:rPr>
          <w:rFonts w:ascii="Bookman Old Style" w:hAnsi="Bookman Old Style"/>
        </w:rPr>
        <w:t>La possibile contraddizione tra il richiamo a</w:t>
      </w:r>
      <w:r w:rsidR="00B629BC">
        <w:rPr>
          <w:rFonts w:ascii="Bookman Old Style" w:hAnsi="Bookman Old Style"/>
        </w:rPr>
        <w:t>lla generica “manutenzione” (co</w:t>
      </w:r>
      <w:r>
        <w:rPr>
          <w:rFonts w:ascii="Bookman Old Style" w:hAnsi="Bookman Old Style"/>
        </w:rPr>
        <w:t xml:space="preserve">.892) e il riferimento al monitoraggio delle “opere pubbliche” può essere superata solo considerando oggetto del monitoraggio le sole opere di investimento (manutenzioni straordinarie) che </w:t>
      </w:r>
      <w:r w:rsidR="00117EBE">
        <w:rPr>
          <w:rFonts w:ascii="Bookman Old Style" w:hAnsi="Bookman Old Style"/>
        </w:rPr>
        <w:t xml:space="preserve">risultino </w:t>
      </w:r>
      <w:r>
        <w:rPr>
          <w:rFonts w:ascii="Bookman Old Style" w:hAnsi="Bookman Old Style"/>
        </w:rPr>
        <w:t xml:space="preserve">comprese tra gli interventi </w:t>
      </w:r>
      <w:r w:rsidR="00117EBE">
        <w:rPr>
          <w:rFonts w:ascii="Bookman Old Style" w:hAnsi="Bookman Old Style"/>
        </w:rPr>
        <w:t>attuati dai Comuni beneficiari del finanziamento.</w:t>
      </w:r>
    </w:p>
    <w:p w:rsidR="00117EBE" w:rsidRPr="001B41BD" w:rsidRDefault="00117EBE" w:rsidP="009D199E">
      <w:pPr>
        <w:shd w:val="clear" w:color="auto" w:fill="FFFFFF"/>
        <w:ind w:firstLine="0"/>
        <w:rPr>
          <w:rFonts w:ascii="Bookman Old Style" w:hAnsi="Bookman Old Style"/>
        </w:rPr>
      </w:pPr>
      <w:r>
        <w:rPr>
          <w:rFonts w:ascii="Bookman Old Style" w:hAnsi="Bookman Old Style"/>
        </w:rPr>
        <w:t>Una diversa e più restrittiva interpretazione sarebbe gravemente in contraddizione anche con la finalità generale del contributo</w:t>
      </w:r>
      <w:r w:rsidR="00F604E1">
        <w:rPr>
          <w:rFonts w:ascii="Bookman Old Style" w:hAnsi="Bookman Old Style"/>
        </w:rPr>
        <w:t>, il “</w:t>
      </w:r>
      <w:r w:rsidR="00F604E1" w:rsidRPr="000D5805">
        <w:rPr>
          <w:rFonts w:ascii="Bookman Old Style" w:hAnsi="Bookman Old Style"/>
          <w:i/>
        </w:rPr>
        <w:t>risto</w:t>
      </w:r>
      <w:r w:rsidR="000D5805" w:rsidRPr="000D5805">
        <w:rPr>
          <w:rFonts w:ascii="Bookman Old Style" w:hAnsi="Bookman Old Style"/>
          <w:i/>
        </w:rPr>
        <w:t>ro del gettito non più acquisibile</w:t>
      </w:r>
      <w:r w:rsidR="000D5805">
        <w:rPr>
          <w:rFonts w:ascii="Bookman Old Style" w:hAnsi="Bookman Old Style"/>
          <w:i/>
        </w:rPr>
        <w:t xml:space="preserve"> dai comuni</w:t>
      </w:r>
      <w:r w:rsidR="000D5805" w:rsidRPr="000D5805">
        <w:rPr>
          <w:rFonts w:ascii="Bookman Old Style" w:hAnsi="Bookman Old Style"/>
          <w:i/>
        </w:rPr>
        <w:t>…</w:t>
      </w:r>
      <w:r w:rsidR="000D5805">
        <w:rPr>
          <w:rFonts w:ascii="Bookman Old Style" w:hAnsi="Bookman Old Style"/>
        </w:rPr>
        <w:t xml:space="preserve">”, risorsa originariamente senza alcun vincolo di destinazione e quindi spendibile per oneri di natura corrente. </w:t>
      </w:r>
    </w:p>
    <w:p w:rsidR="009D199E" w:rsidRPr="001B41BD" w:rsidRDefault="009D199E" w:rsidP="009D199E">
      <w:pPr>
        <w:shd w:val="clear" w:color="auto" w:fill="FFFFFF"/>
        <w:rPr>
          <w:rFonts w:ascii="Bookman Old Style" w:hAnsi="Bookman Old Style"/>
        </w:rPr>
      </w:pPr>
    </w:p>
    <w:p w:rsidR="00816197" w:rsidRPr="00816197" w:rsidRDefault="006918D0" w:rsidP="00816197">
      <w:pPr>
        <w:pStyle w:val="Titolo2"/>
        <w:ind w:firstLine="0"/>
        <w:rPr>
          <w:rFonts w:ascii="Bookman Old Style" w:hAnsi="Bookman Old Style"/>
          <w:b/>
          <w:sz w:val="22"/>
          <w:szCs w:val="22"/>
        </w:rPr>
      </w:pPr>
      <w:bookmarkStart w:id="12" w:name="_Toc533979310"/>
      <w:bookmarkStart w:id="13" w:name="_Toc534027966"/>
      <w:r>
        <w:rPr>
          <w:rFonts w:ascii="Bookman Old Style" w:hAnsi="Bookman Old Style"/>
          <w:b/>
          <w:sz w:val="22"/>
          <w:szCs w:val="22"/>
        </w:rPr>
        <w:t xml:space="preserve">Percentuale di accantonamento minimo al </w:t>
      </w:r>
      <w:r w:rsidR="00816197" w:rsidRPr="00816197">
        <w:rPr>
          <w:rFonts w:ascii="Bookman Old Style" w:hAnsi="Bookman Old Style"/>
          <w:b/>
          <w:sz w:val="22"/>
          <w:szCs w:val="22"/>
        </w:rPr>
        <w:t>FCDE</w:t>
      </w:r>
      <w:bookmarkEnd w:id="12"/>
      <w:bookmarkEnd w:id="13"/>
    </w:p>
    <w:p w:rsidR="006918D0" w:rsidRPr="00057532" w:rsidRDefault="00816197" w:rsidP="006C5362">
      <w:pPr>
        <w:shd w:val="clear" w:color="auto" w:fill="FFFFFF"/>
        <w:ind w:firstLine="0"/>
        <w:rPr>
          <w:rFonts w:ascii="Bookman Old Style" w:hAnsi="Bookman Old Style"/>
        </w:rPr>
      </w:pPr>
      <w:r w:rsidRPr="006918D0">
        <w:rPr>
          <w:rFonts w:ascii="Bookman Old Style" w:hAnsi="Bookman Old Style"/>
        </w:rPr>
        <w:t>I</w:t>
      </w:r>
      <w:r w:rsidRPr="00057532">
        <w:rPr>
          <w:rFonts w:ascii="Bookman Old Style" w:hAnsi="Bookman Old Style"/>
        </w:rPr>
        <w:t xml:space="preserve"> </w:t>
      </w:r>
      <w:r w:rsidRPr="00057532">
        <w:rPr>
          <w:rFonts w:ascii="Bookman Old Style" w:hAnsi="Bookman Old Style"/>
          <w:b/>
        </w:rPr>
        <w:t>commi 1015-1018</w:t>
      </w:r>
      <w:r w:rsidR="006918D0" w:rsidRPr="006918D0">
        <w:rPr>
          <w:rFonts w:ascii="Bookman Old Style" w:hAnsi="Bookman Old Style"/>
        </w:rPr>
        <w:t xml:space="preserve">, anziché determinare </w:t>
      </w:r>
      <w:r w:rsidR="006918D0">
        <w:rPr>
          <w:rFonts w:ascii="Bookman Old Style" w:hAnsi="Bookman Old Style"/>
        </w:rPr>
        <w:t>l’attesa</w:t>
      </w:r>
      <w:r w:rsidR="006918D0" w:rsidRPr="006918D0">
        <w:rPr>
          <w:rFonts w:ascii="Bookman Old Style" w:hAnsi="Bookman Old Style"/>
        </w:rPr>
        <w:t xml:space="preserve"> riduzione generalizzata dell’incremento della percentuale di accantonamento minimo al Fondo crediti di dubbia esigibilità (FCDE)</w:t>
      </w:r>
      <w:r w:rsidR="006918D0">
        <w:rPr>
          <w:rFonts w:ascii="Bookman Old Style" w:hAnsi="Bookman Old Style"/>
        </w:rPr>
        <w:t>,</w:t>
      </w:r>
      <w:r w:rsidR="006918D0" w:rsidRPr="006918D0">
        <w:rPr>
          <w:rFonts w:ascii="Bookman Old Style" w:hAnsi="Bookman Old Style"/>
        </w:rPr>
        <w:t xml:space="preserve"> si limitano a stabilire condizioni per contenere l’aumento dall’attuale 75% all’80% (rispetto all’85%</w:t>
      </w:r>
      <w:r w:rsidR="006918D0">
        <w:rPr>
          <w:rFonts w:ascii="Bookman Old Style" w:hAnsi="Bookman Old Style"/>
        </w:rPr>
        <w:t xml:space="preserve"> previsto per il 2019). </w:t>
      </w:r>
      <w:r w:rsidR="00057532">
        <w:rPr>
          <w:rFonts w:ascii="Bookman Old Style" w:hAnsi="Bookman Old Style"/>
        </w:rPr>
        <w:t>In particolare, t</w:t>
      </w:r>
      <w:r w:rsidR="006918D0" w:rsidRPr="00057532">
        <w:rPr>
          <w:rFonts w:ascii="Bookman Old Style" w:hAnsi="Bookman Old Style"/>
        </w:rPr>
        <w:t xml:space="preserve">ale facoltà è concessa </w:t>
      </w:r>
      <w:r w:rsidR="006C5362">
        <w:rPr>
          <w:rFonts w:ascii="Bookman Old Style" w:hAnsi="Bookman Old Style"/>
        </w:rPr>
        <w:t xml:space="preserve">ai soli </w:t>
      </w:r>
      <w:r w:rsidR="006918D0" w:rsidRPr="00057532">
        <w:rPr>
          <w:rFonts w:ascii="Bookman Old Style" w:hAnsi="Bookman Old Style"/>
        </w:rPr>
        <w:t>enti che, al 31 dicembre 2018, rispettano contemporaneamente le due seguenti condizioni:</w:t>
      </w:r>
    </w:p>
    <w:p w:rsidR="006918D0" w:rsidRDefault="006918D0" w:rsidP="006C5362">
      <w:pPr>
        <w:pStyle w:val="Paragrafoelenco"/>
        <w:numPr>
          <w:ilvl w:val="0"/>
          <w:numId w:val="10"/>
        </w:numPr>
        <w:ind w:left="426" w:hanging="357"/>
        <w:rPr>
          <w:rFonts w:ascii="Bookman Old Style" w:hAnsi="Bookman Old Style"/>
        </w:rPr>
      </w:pPr>
      <w:r w:rsidRPr="008001DC">
        <w:rPr>
          <w:rFonts w:ascii="Bookman Old Style" w:hAnsi="Bookman Old Style"/>
        </w:rPr>
        <w:t xml:space="preserve">l’indicatore annuale di tempestività dei pagamenti relativo </w:t>
      </w:r>
      <w:r w:rsidR="002C3809">
        <w:rPr>
          <w:rFonts w:ascii="Bookman Old Style" w:hAnsi="Bookman Old Style"/>
        </w:rPr>
        <w:t xml:space="preserve">al </w:t>
      </w:r>
      <w:r w:rsidRPr="008001DC">
        <w:rPr>
          <w:rFonts w:ascii="Bookman Old Style" w:hAnsi="Bookman Old Style"/>
        </w:rPr>
        <w:t xml:space="preserve">2018 </w:t>
      </w:r>
      <w:r w:rsidR="00E524E4">
        <w:rPr>
          <w:rFonts w:ascii="Bookman Old Style" w:hAnsi="Bookman Old Style"/>
        </w:rPr>
        <w:t>(</w:t>
      </w:r>
      <w:r w:rsidR="00E524E4" w:rsidRPr="001B41BD">
        <w:rPr>
          <w:rFonts w:ascii="Bookman Old Style" w:hAnsi="Bookman Old Style"/>
        </w:rPr>
        <w:t xml:space="preserve">calcolato e pubblicato secondo le modalità stabilite dal </w:t>
      </w:r>
      <w:r w:rsidR="00E524E4">
        <w:rPr>
          <w:rFonts w:ascii="Bookman Old Style" w:hAnsi="Bookman Old Style"/>
        </w:rPr>
        <w:t xml:space="preserve">DPCM </w:t>
      </w:r>
      <w:r w:rsidR="00E524E4" w:rsidRPr="001B41BD">
        <w:rPr>
          <w:rFonts w:ascii="Bookman Old Style" w:hAnsi="Bookman Old Style"/>
        </w:rPr>
        <w:t>22 settembre 2014</w:t>
      </w:r>
      <w:r w:rsidR="00E524E4">
        <w:rPr>
          <w:rFonts w:ascii="Bookman Old Style" w:hAnsi="Bookman Old Style"/>
        </w:rPr>
        <w:t xml:space="preserve">) </w:t>
      </w:r>
      <w:r w:rsidRPr="008001DC">
        <w:rPr>
          <w:rFonts w:ascii="Bookman Old Style" w:hAnsi="Bookman Old Style"/>
        </w:rPr>
        <w:t xml:space="preserve">è rispettoso dei termini di pagamento indicati dal d. </w:t>
      </w:r>
      <w:proofErr w:type="spellStart"/>
      <w:r w:rsidRPr="008001DC">
        <w:rPr>
          <w:rFonts w:ascii="Bookman Old Style" w:hAnsi="Bookman Old Style"/>
        </w:rPr>
        <w:t>lgs</w:t>
      </w:r>
      <w:proofErr w:type="spellEnd"/>
      <w:r w:rsidRPr="008001DC">
        <w:rPr>
          <w:rFonts w:ascii="Bookman Old Style" w:hAnsi="Bookman Old Style"/>
        </w:rPr>
        <w:t>. 231 del 2002 (</w:t>
      </w:r>
      <w:r w:rsidR="002C3809">
        <w:rPr>
          <w:rFonts w:ascii="Bookman Old Style" w:hAnsi="Bookman Old Style"/>
        </w:rPr>
        <w:t xml:space="preserve">pagamenti entro </w:t>
      </w:r>
      <w:r w:rsidRPr="008001DC">
        <w:rPr>
          <w:rFonts w:ascii="Bookman Old Style" w:hAnsi="Bookman Old Style"/>
        </w:rPr>
        <w:t>30 giorni, salvo casi specifici</w:t>
      </w:r>
      <w:r w:rsidR="002C3809">
        <w:rPr>
          <w:rFonts w:ascii="Bookman Old Style" w:hAnsi="Bookman Old Style"/>
        </w:rPr>
        <w:t xml:space="preserve">, </w:t>
      </w:r>
      <w:r w:rsidRPr="008001DC">
        <w:rPr>
          <w:rFonts w:ascii="Bookman Old Style" w:hAnsi="Bookman Old Style"/>
        </w:rPr>
        <w:t>per i quali sono previsti termini superiori) ed è stato pagato almeno il 75% dell’importo delle fatture ricevute e scadute nel 2018;</w:t>
      </w:r>
    </w:p>
    <w:p w:rsidR="006918D0" w:rsidRDefault="006918D0" w:rsidP="006C5362">
      <w:pPr>
        <w:pStyle w:val="Paragrafoelenco"/>
        <w:numPr>
          <w:ilvl w:val="0"/>
          <w:numId w:val="10"/>
        </w:numPr>
        <w:ind w:left="426" w:hanging="357"/>
        <w:rPr>
          <w:rFonts w:ascii="Bookman Old Style" w:hAnsi="Bookman Old Style"/>
        </w:rPr>
      </w:pPr>
      <w:r w:rsidRPr="008001DC">
        <w:rPr>
          <w:rFonts w:ascii="Bookman Old Style" w:hAnsi="Bookman Old Style"/>
        </w:rPr>
        <w:t>il debito commerciale residuo, rilevato al 31 dicembre 2018, è diminuito del 10% rispetto a quello risultante nel 2017, oppure si è azzerato</w:t>
      </w:r>
      <w:r w:rsidR="002C3809">
        <w:rPr>
          <w:rFonts w:ascii="Bookman Old Style" w:hAnsi="Bookman Old Style"/>
        </w:rPr>
        <w:t>,</w:t>
      </w:r>
      <w:r w:rsidRPr="008001DC">
        <w:rPr>
          <w:rFonts w:ascii="Bookman Old Style" w:hAnsi="Bookman Old Style"/>
        </w:rPr>
        <w:t xml:space="preserve"> oppure è costituito dai soli debiti oggetto di contenzioso o contestazione.</w:t>
      </w:r>
    </w:p>
    <w:p w:rsidR="006918D0" w:rsidRPr="00057532" w:rsidRDefault="006C5362" w:rsidP="006C5362">
      <w:pPr>
        <w:shd w:val="clear" w:color="auto" w:fill="FFFFFF"/>
        <w:ind w:firstLine="0"/>
        <w:rPr>
          <w:rFonts w:ascii="Bookman Old Style" w:hAnsi="Bookman Old Style"/>
        </w:rPr>
      </w:pPr>
      <w:r>
        <w:rPr>
          <w:rFonts w:ascii="Bookman Old Style" w:hAnsi="Bookman Old Style"/>
        </w:rPr>
        <w:t xml:space="preserve">Il minor aumento dell’accantonamento è applicabile in corso d’anno </w:t>
      </w:r>
      <w:r w:rsidR="006918D0" w:rsidRPr="00057532">
        <w:rPr>
          <w:rFonts w:ascii="Bookman Old Style" w:hAnsi="Bookman Old Style"/>
        </w:rPr>
        <w:t xml:space="preserve">anche </w:t>
      </w:r>
      <w:r>
        <w:rPr>
          <w:rFonts w:ascii="Bookman Old Style" w:hAnsi="Bookman Old Style"/>
        </w:rPr>
        <w:t>d</w:t>
      </w:r>
      <w:r w:rsidR="006918D0" w:rsidRPr="00057532">
        <w:rPr>
          <w:rFonts w:ascii="Bookman Old Style" w:hAnsi="Bookman Old Style"/>
        </w:rPr>
        <w:t>a</w:t>
      </w:r>
      <w:r>
        <w:rPr>
          <w:rFonts w:ascii="Bookman Old Style" w:hAnsi="Bookman Old Style"/>
        </w:rPr>
        <w:t xml:space="preserve"> parte degli </w:t>
      </w:r>
      <w:r w:rsidR="006918D0" w:rsidRPr="00057532">
        <w:rPr>
          <w:rFonts w:ascii="Bookman Old Style" w:hAnsi="Bookman Old Style"/>
        </w:rPr>
        <w:t>enti locali che, pur non rispettando le due precedenti condizioni alla fine del 2018, rilevano un miglioramento della propria situazione al 30 giugno 2019, con il soddisfacimento di entrambe le seguenti condizioni</w:t>
      </w:r>
      <w:r>
        <w:rPr>
          <w:rFonts w:ascii="Bookman Old Style" w:hAnsi="Bookman Old Style"/>
        </w:rPr>
        <w:t xml:space="preserve">, </w:t>
      </w:r>
      <w:r w:rsidR="006918D0" w:rsidRPr="00057532">
        <w:rPr>
          <w:rFonts w:ascii="Bookman Old Style" w:hAnsi="Bookman Old Style"/>
        </w:rPr>
        <w:t>mutuate dal comma precedente:</w:t>
      </w:r>
    </w:p>
    <w:p w:rsidR="006918D0" w:rsidRPr="00056121" w:rsidRDefault="006918D0" w:rsidP="006C5362">
      <w:pPr>
        <w:pStyle w:val="Paragrafoelenco"/>
        <w:numPr>
          <w:ilvl w:val="0"/>
          <w:numId w:val="11"/>
        </w:numPr>
        <w:ind w:left="426"/>
        <w:rPr>
          <w:rFonts w:ascii="Bookman Old Style" w:hAnsi="Bookman Old Style"/>
        </w:rPr>
      </w:pPr>
      <w:r w:rsidRPr="00056121">
        <w:rPr>
          <w:rFonts w:ascii="Bookman Old Style" w:hAnsi="Bookman Old Style"/>
        </w:rPr>
        <w:t>l’indicatore di tempestività dei pagamenti</w:t>
      </w:r>
      <w:r>
        <w:rPr>
          <w:rFonts w:ascii="Bookman Old Style" w:hAnsi="Bookman Old Style"/>
        </w:rPr>
        <w:t xml:space="preserve">, calcolato al 30 giugno 2019, </w:t>
      </w:r>
      <w:r w:rsidRPr="00056121">
        <w:rPr>
          <w:rFonts w:ascii="Bookman Old Style" w:hAnsi="Bookman Old Style"/>
        </w:rPr>
        <w:t xml:space="preserve">è rispettoso dei termini di </w:t>
      </w:r>
      <w:r w:rsidR="006C5362">
        <w:rPr>
          <w:rFonts w:ascii="Bookman Old Style" w:hAnsi="Bookman Old Style"/>
        </w:rPr>
        <w:t xml:space="preserve">legge </w:t>
      </w:r>
      <w:r>
        <w:rPr>
          <w:rFonts w:ascii="Bookman Old Style" w:hAnsi="Bookman Old Style"/>
        </w:rPr>
        <w:t>ed è stato pagato almeno il 75% dell’importo delle fatture ricevute e scadute nel semestre;</w:t>
      </w:r>
    </w:p>
    <w:p w:rsidR="006918D0" w:rsidRPr="00056121" w:rsidRDefault="006918D0" w:rsidP="006C5362">
      <w:pPr>
        <w:pStyle w:val="Paragrafoelenco"/>
        <w:numPr>
          <w:ilvl w:val="0"/>
          <w:numId w:val="11"/>
        </w:numPr>
        <w:ind w:left="426"/>
        <w:rPr>
          <w:rFonts w:ascii="Bookman Old Style" w:hAnsi="Bookman Old Style"/>
        </w:rPr>
      </w:pPr>
      <w:r w:rsidRPr="00056121">
        <w:rPr>
          <w:rFonts w:ascii="Bookman Old Style" w:hAnsi="Bookman Old Style"/>
        </w:rPr>
        <w:t>il debito commerciale residuo, rilevato al 3</w:t>
      </w:r>
      <w:r>
        <w:rPr>
          <w:rFonts w:ascii="Bookman Old Style" w:hAnsi="Bookman Old Style"/>
        </w:rPr>
        <w:t>0</w:t>
      </w:r>
      <w:r w:rsidRPr="00056121">
        <w:rPr>
          <w:rFonts w:ascii="Bookman Old Style" w:hAnsi="Bookman Old Style"/>
        </w:rPr>
        <w:t xml:space="preserve"> </w:t>
      </w:r>
      <w:r>
        <w:rPr>
          <w:rFonts w:ascii="Bookman Old Style" w:hAnsi="Bookman Old Style"/>
        </w:rPr>
        <w:t>giugno</w:t>
      </w:r>
      <w:r w:rsidRPr="00056121">
        <w:rPr>
          <w:rFonts w:ascii="Bookman Old Style" w:hAnsi="Bookman Old Style"/>
        </w:rPr>
        <w:t xml:space="preserve"> 201</w:t>
      </w:r>
      <w:r>
        <w:rPr>
          <w:rFonts w:ascii="Bookman Old Style" w:hAnsi="Bookman Old Style"/>
        </w:rPr>
        <w:t>9, è diminuito del 5</w:t>
      </w:r>
      <w:r w:rsidRPr="00056121">
        <w:rPr>
          <w:rFonts w:ascii="Bookman Old Style" w:hAnsi="Bookman Old Style"/>
        </w:rPr>
        <w:t xml:space="preserve">% rispetto a quello risultante </w:t>
      </w:r>
      <w:r>
        <w:rPr>
          <w:rFonts w:ascii="Bookman Old Style" w:hAnsi="Bookman Old Style"/>
        </w:rPr>
        <w:t>al 31 dicembre 2018</w:t>
      </w:r>
      <w:r w:rsidRPr="00056121">
        <w:rPr>
          <w:rFonts w:ascii="Bookman Old Style" w:hAnsi="Bookman Old Style"/>
        </w:rPr>
        <w:t xml:space="preserve">, oppure si è azzerato oppure è costituito dai soli debiti oggetto di contenzioso o contestazione. </w:t>
      </w:r>
    </w:p>
    <w:p w:rsidR="006C5362" w:rsidRDefault="00E524E4" w:rsidP="006C5362">
      <w:pPr>
        <w:ind w:firstLine="0"/>
        <w:rPr>
          <w:rFonts w:ascii="Bookman Old Style" w:hAnsi="Bookman Old Style"/>
        </w:rPr>
      </w:pPr>
      <w:r>
        <w:rPr>
          <w:rFonts w:ascii="Bookman Old Style" w:hAnsi="Bookman Old Style"/>
        </w:rPr>
        <w:t>N</w:t>
      </w:r>
      <w:r w:rsidR="006C5362" w:rsidRPr="008001DC">
        <w:rPr>
          <w:rFonts w:ascii="Bookman Old Style" w:hAnsi="Bookman Old Style"/>
        </w:rPr>
        <w:t xml:space="preserve">on possono avvalersi della facoltà di variare la quota di accantonamento ad FCDE </w:t>
      </w:r>
      <w:r w:rsidR="006C5362">
        <w:rPr>
          <w:rFonts w:ascii="Bookman Old Style" w:hAnsi="Bookman Old Style"/>
        </w:rPr>
        <w:t xml:space="preserve">come indicato ai punti precedenti </w:t>
      </w:r>
      <w:r w:rsidR="006C5362" w:rsidRPr="008001DC">
        <w:rPr>
          <w:rFonts w:ascii="Bookman Old Style" w:hAnsi="Bookman Old Style"/>
        </w:rPr>
        <w:t>dalla legge di bilancio 2019</w:t>
      </w:r>
      <w:r w:rsidR="006C5362">
        <w:rPr>
          <w:rFonts w:ascii="Bookman Old Style" w:hAnsi="Bookman Old Style"/>
        </w:rPr>
        <w:t xml:space="preserve"> </w:t>
      </w:r>
      <w:r w:rsidR="006918D0" w:rsidRPr="008001DC">
        <w:rPr>
          <w:rFonts w:ascii="Bookman Old Style" w:hAnsi="Bookman Old Style"/>
        </w:rPr>
        <w:t>gli enti</w:t>
      </w:r>
      <w:r w:rsidR="006C5362">
        <w:rPr>
          <w:rFonts w:ascii="Bookman Old Style" w:hAnsi="Bookman Old Style"/>
        </w:rPr>
        <w:t xml:space="preserve"> </w:t>
      </w:r>
      <w:r w:rsidR="006918D0" w:rsidRPr="008001DC">
        <w:rPr>
          <w:rFonts w:ascii="Bookman Old Style" w:hAnsi="Bookman Old Style"/>
        </w:rPr>
        <w:t>che</w:t>
      </w:r>
      <w:r w:rsidR="006C5362">
        <w:rPr>
          <w:rFonts w:ascii="Bookman Old Style" w:hAnsi="Bookman Old Style"/>
        </w:rPr>
        <w:t>,</w:t>
      </w:r>
      <w:r w:rsidR="006918D0" w:rsidRPr="008001DC">
        <w:rPr>
          <w:rFonts w:ascii="Bookman Old Style" w:hAnsi="Bookman Old Style"/>
        </w:rPr>
        <w:t xml:space="preserve"> pur rispettando le condizioni </w:t>
      </w:r>
      <w:r w:rsidR="006C5362">
        <w:rPr>
          <w:rFonts w:ascii="Bookman Old Style" w:hAnsi="Bookman Old Style"/>
        </w:rPr>
        <w:t>anzidette (</w:t>
      </w:r>
      <w:r w:rsidR="006918D0" w:rsidRPr="008001DC">
        <w:rPr>
          <w:rFonts w:ascii="Bookman Old Style" w:hAnsi="Bookman Old Style"/>
        </w:rPr>
        <w:t xml:space="preserve">al 31 dicembre 2018 o </w:t>
      </w:r>
      <w:r w:rsidR="006C5362">
        <w:rPr>
          <w:rFonts w:ascii="Bookman Old Style" w:hAnsi="Bookman Old Style"/>
        </w:rPr>
        <w:t xml:space="preserve">al </w:t>
      </w:r>
      <w:r w:rsidR="006918D0" w:rsidRPr="008001DC">
        <w:rPr>
          <w:rFonts w:ascii="Bookman Old Style" w:hAnsi="Bookman Old Style"/>
        </w:rPr>
        <w:t>30 giugno 2019</w:t>
      </w:r>
      <w:r w:rsidR="006C5362">
        <w:rPr>
          <w:rFonts w:ascii="Bookman Old Style" w:hAnsi="Bookman Old Style"/>
        </w:rPr>
        <w:t>):</w:t>
      </w:r>
    </w:p>
    <w:p w:rsidR="006C5362" w:rsidRDefault="006918D0" w:rsidP="006C5362">
      <w:pPr>
        <w:pStyle w:val="Paragrafoelenco"/>
        <w:numPr>
          <w:ilvl w:val="0"/>
          <w:numId w:val="12"/>
        </w:numPr>
        <w:rPr>
          <w:rFonts w:ascii="Bookman Old Style" w:hAnsi="Bookman Old Style"/>
        </w:rPr>
      </w:pPr>
      <w:r w:rsidRPr="006C5362">
        <w:rPr>
          <w:rFonts w:ascii="Bookman Old Style" w:hAnsi="Bookman Old Style"/>
        </w:rPr>
        <w:t xml:space="preserve">non hanno pubblicato sul proprio sito internet, nei termini previsti dalla normativa, i dati relativi </w:t>
      </w:r>
      <w:r w:rsidR="006C5362" w:rsidRPr="006C5362">
        <w:rPr>
          <w:rFonts w:ascii="Bookman Old Style" w:hAnsi="Bookman Old Style"/>
        </w:rPr>
        <w:t xml:space="preserve">al debito commerciale residuo e </w:t>
      </w:r>
      <w:r w:rsidRPr="006C5362">
        <w:rPr>
          <w:rFonts w:ascii="Bookman Old Style" w:hAnsi="Bookman Old Style"/>
        </w:rPr>
        <w:t xml:space="preserve">agli indicatori </w:t>
      </w:r>
      <w:r w:rsidR="006C5362" w:rsidRPr="006C5362">
        <w:rPr>
          <w:rFonts w:ascii="Bookman Old Style" w:hAnsi="Bookman Old Style"/>
        </w:rPr>
        <w:t xml:space="preserve">dei </w:t>
      </w:r>
      <w:r w:rsidRPr="006C5362">
        <w:rPr>
          <w:rFonts w:ascii="Bookman Old Style" w:hAnsi="Bookman Old Style"/>
        </w:rPr>
        <w:t>tempi di pagamento</w:t>
      </w:r>
      <w:r w:rsidR="006C5362">
        <w:rPr>
          <w:rFonts w:ascii="Bookman Old Style" w:hAnsi="Bookman Old Style"/>
        </w:rPr>
        <w:t>,</w:t>
      </w:r>
    </w:p>
    <w:p w:rsidR="006918D0" w:rsidRPr="006C5362" w:rsidRDefault="006918D0" w:rsidP="006C5362">
      <w:pPr>
        <w:pStyle w:val="Paragrafoelenco"/>
        <w:numPr>
          <w:ilvl w:val="0"/>
          <w:numId w:val="12"/>
        </w:numPr>
        <w:rPr>
          <w:rFonts w:ascii="Bookman Old Style" w:hAnsi="Bookman Old Style"/>
        </w:rPr>
      </w:pPr>
      <w:r w:rsidRPr="006C5362">
        <w:rPr>
          <w:rFonts w:ascii="Bookman Old Style" w:hAnsi="Bookman Old Style"/>
        </w:rPr>
        <w:t>o non hanno inviato</w:t>
      </w:r>
      <w:r w:rsidR="006C5362" w:rsidRPr="006C5362">
        <w:rPr>
          <w:rFonts w:ascii="Bookman Old Style" w:hAnsi="Bookman Old Style"/>
        </w:rPr>
        <w:t xml:space="preserve"> </w:t>
      </w:r>
      <w:r w:rsidRPr="006C5362">
        <w:rPr>
          <w:rFonts w:ascii="Bookman Old Style" w:hAnsi="Bookman Old Style"/>
        </w:rPr>
        <w:t xml:space="preserve">nei mesi precedenti l’avvio del SIOPE+ le comunicazioni relative al pagamento delle fatture alla Piattaforma elettronica dei crediti commerciali (PCC). </w:t>
      </w:r>
    </w:p>
    <w:p w:rsidR="006918D0" w:rsidRPr="005132B6" w:rsidRDefault="006918D0" w:rsidP="006C5362">
      <w:pPr>
        <w:ind w:firstLine="0"/>
        <w:rPr>
          <w:rFonts w:ascii="Bookman Old Style" w:eastAsiaTheme="minorEastAsia" w:hAnsi="Bookman Old Style"/>
          <w:b/>
        </w:rPr>
      </w:pPr>
      <w:r>
        <w:rPr>
          <w:rFonts w:ascii="Bookman Old Style" w:eastAsiaTheme="minorEastAsia" w:hAnsi="Bookman Old Style"/>
        </w:rPr>
        <w:t>La facoltà di ridurre la quota di accantonamento a</w:t>
      </w:r>
      <w:r w:rsidR="006C5362">
        <w:rPr>
          <w:rFonts w:ascii="Bookman Old Style" w:eastAsiaTheme="minorEastAsia" w:hAnsi="Bookman Old Style"/>
        </w:rPr>
        <w:t>l</w:t>
      </w:r>
      <w:r>
        <w:rPr>
          <w:rFonts w:ascii="Bookman Old Style" w:eastAsiaTheme="minorEastAsia" w:hAnsi="Bookman Old Style"/>
        </w:rPr>
        <w:t xml:space="preserve"> FCDE (dall’85% all’80%) in presenza delle condizioni previste dai commi 1015-1017 comporta un onere per la finanza pubblica, quantificato in 30 milioni di euro per l’anno 2019 in termini di indebitamento netto.</w:t>
      </w:r>
      <w:r w:rsidR="006C5362">
        <w:rPr>
          <w:rFonts w:ascii="Bookman Old Style" w:eastAsiaTheme="minorEastAsia" w:hAnsi="Bookman Old Style"/>
        </w:rPr>
        <w:t xml:space="preserve"> Sulla base di questa quantificazione e della stima IFEL degli effetti del passaggio dal 75 all’85% di accantonamento minimo, pari a 440 mln. di euro</w:t>
      </w:r>
      <w:r w:rsidR="006C5362" w:rsidRPr="005132B6">
        <w:rPr>
          <w:rFonts w:ascii="Bookman Old Style" w:eastAsiaTheme="minorEastAsia" w:hAnsi="Bookman Old Style"/>
          <w:b/>
        </w:rPr>
        <w:t>, la stretta finanziaria in termini di minore capacità di spesa dei Comuni per il 2019 è valutabile in oltre 400 milioni di euro.</w:t>
      </w:r>
    </w:p>
    <w:p w:rsidR="00BC1C3A" w:rsidRDefault="00BC1C3A" w:rsidP="006C5362">
      <w:pPr>
        <w:ind w:firstLine="0"/>
        <w:rPr>
          <w:rFonts w:ascii="Bookman Old Style" w:eastAsiaTheme="minorEastAsia" w:hAnsi="Bookman Old Style"/>
        </w:rPr>
      </w:pPr>
    </w:p>
    <w:p w:rsidR="00BC1C3A" w:rsidRPr="00036521" w:rsidRDefault="00BC1C3A" w:rsidP="00BC1C3A">
      <w:pPr>
        <w:pStyle w:val="Titolo2"/>
        <w:ind w:firstLine="0"/>
        <w:rPr>
          <w:rFonts w:ascii="Bookman Old Style" w:hAnsi="Bookman Old Style"/>
          <w:b/>
          <w:sz w:val="22"/>
          <w:szCs w:val="22"/>
        </w:rPr>
      </w:pPr>
      <w:bookmarkStart w:id="14" w:name="_Toc533777786"/>
      <w:bookmarkStart w:id="15" w:name="_Toc533979311"/>
      <w:bookmarkStart w:id="16" w:name="_Toc534027967"/>
      <w:r>
        <w:rPr>
          <w:rFonts w:ascii="Bookman Old Style" w:hAnsi="Bookman Old Style"/>
          <w:b/>
          <w:sz w:val="22"/>
          <w:szCs w:val="22"/>
        </w:rPr>
        <w:t xml:space="preserve">Limite </w:t>
      </w:r>
      <w:r w:rsidRPr="00036521">
        <w:rPr>
          <w:rFonts w:ascii="Bookman Old Style" w:hAnsi="Bookman Old Style"/>
          <w:b/>
          <w:sz w:val="22"/>
          <w:szCs w:val="22"/>
        </w:rPr>
        <w:t>massimo anticipazioni di tesoreria</w:t>
      </w:r>
      <w:bookmarkEnd w:id="14"/>
      <w:r>
        <w:rPr>
          <w:rFonts w:ascii="Bookman Old Style" w:hAnsi="Bookman Old Style"/>
          <w:b/>
          <w:sz w:val="22"/>
          <w:szCs w:val="22"/>
        </w:rPr>
        <w:t xml:space="preserve"> a 4/12</w:t>
      </w:r>
      <w:bookmarkEnd w:id="15"/>
      <w:bookmarkEnd w:id="16"/>
    </w:p>
    <w:p w:rsidR="00BC1C3A" w:rsidRDefault="00BC1C3A" w:rsidP="00BC1C3A">
      <w:pPr>
        <w:ind w:firstLine="0"/>
        <w:rPr>
          <w:b/>
        </w:rPr>
      </w:pPr>
      <w:r>
        <w:rPr>
          <w:rFonts w:ascii="Bookman Old Style" w:hAnsi="Bookman Old Style"/>
        </w:rPr>
        <w:t xml:space="preserve">Il </w:t>
      </w:r>
      <w:r w:rsidRPr="00180E55">
        <w:rPr>
          <w:rFonts w:ascii="Bookman Old Style" w:hAnsi="Bookman Old Style"/>
          <w:b/>
        </w:rPr>
        <w:t>comma 906</w:t>
      </w:r>
      <w:r w:rsidRPr="00714A95">
        <w:rPr>
          <w:rFonts w:ascii="Bookman Old Style" w:hAnsi="Bookman Old Style"/>
        </w:rPr>
        <w:t xml:space="preserve"> </w:t>
      </w:r>
      <w:r>
        <w:rPr>
          <w:rFonts w:ascii="Bookman Old Style" w:hAnsi="Bookman Old Style"/>
        </w:rPr>
        <w:t xml:space="preserve">fissa a 4/12 delle entrate correnti complessive il </w:t>
      </w:r>
      <w:r w:rsidRPr="00714A95">
        <w:rPr>
          <w:rFonts w:ascii="Bookman Old Style" w:hAnsi="Bookman Old Style"/>
        </w:rPr>
        <w:t xml:space="preserve">limite massimo </w:t>
      </w:r>
      <w:r>
        <w:rPr>
          <w:rFonts w:ascii="Bookman Old Style" w:hAnsi="Bookman Old Style"/>
        </w:rPr>
        <w:t xml:space="preserve">del </w:t>
      </w:r>
      <w:r w:rsidRPr="00714A95">
        <w:rPr>
          <w:rFonts w:ascii="Bookman Old Style" w:hAnsi="Bookman Old Style"/>
        </w:rPr>
        <w:t>ricorso ad anticipazioni di tesoreria da parte degli enti locali</w:t>
      </w:r>
      <w:r>
        <w:rPr>
          <w:rFonts w:ascii="Bookman Old Style" w:hAnsi="Bookman Old Style"/>
        </w:rPr>
        <w:t xml:space="preserve"> per il 2019. Tale misura, superiore rispetto al limite ordinario di 3/12 (art. 222 del TUEL), costituisce tuttavia una riduzione rispetto ai 5/12 degli ultimi anni. La norma è finalizzata ad </w:t>
      </w:r>
      <w:r w:rsidRPr="00714A95">
        <w:rPr>
          <w:rFonts w:ascii="Bookman Old Style" w:hAnsi="Bookman Old Style"/>
        </w:rPr>
        <w:t>agevolare il rispetto dei tempi di pagamento nelle transazioni commerciali da parte degli enti locali</w:t>
      </w:r>
      <w:r>
        <w:rPr>
          <w:rFonts w:ascii="Bookman Old Style" w:hAnsi="Bookman Old Style"/>
        </w:rPr>
        <w:t>, tema sul quale la legge di bilancio interviene con ulteriori misure di anticipazione a breve termine discusse nel seguito (commi 849 e ss.)</w:t>
      </w:r>
      <w:r w:rsidRPr="00714A95">
        <w:rPr>
          <w:rFonts w:ascii="Bookman Old Style" w:hAnsi="Bookman Old Style"/>
        </w:rPr>
        <w:t xml:space="preserve">. </w:t>
      </w:r>
    </w:p>
    <w:p w:rsidR="009D199E" w:rsidRPr="001B41BD" w:rsidRDefault="009D199E" w:rsidP="009D199E">
      <w:pPr>
        <w:shd w:val="clear" w:color="auto" w:fill="FFFFFF"/>
        <w:rPr>
          <w:rFonts w:ascii="Bookman Old Style" w:hAnsi="Bookman Old Style"/>
          <w:b/>
        </w:rPr>
      </w:pPr>
    </w:p>
    <w:p w:rsidR="009D199E" w:rsidRPr="00001DDC" w:rsidRDefault="00001DDC" w:rsidP="00001DDC">
      <w:pPr>
        <w:pStyle w:val="Titolo2"/>
        <w:ind w:firstLine="0"/>
        <w:rPr>
          <w:rFonts w:ascii="Bookman Old Style" w:hAnsi="Bookman Old Style"/>
          <w:b/>
          <w:sz w:val="22"/>
          <w:szCs w:val="22"/>
        </w:rPr>
      </w:pPr>
      <w:bookmarkStart w:id="17" w:name="_Toc533979312"/>
      <w:bookmarkStart w:id="18" w:name="_Toc534027968"/>
      <w:r w:rsidRPr="00001DDC">
        <w:rPr>
          <w:rFonts w:ascii="Bookman Old Style" w:hAnsi="Bookman Old Style"/>
          <w:b/>
          <w:sz w:val="22"/>
          <w:szCs w:val="22"/>
        </w:rPr>
        <w:t>Fondo di solidarietà comunale (FSC) e percentuali di perequazione</w:t>
      </w:r>
      <w:bookmarkEnd w:id="17"/>
      <w:bookmarkEnd w:id="18"/>
    </w:p>
    <w:p w:rsidR="00816197" w:rsidRDefault="000D5805" w:rsidP="00001DDC">
      <w:pPr>
        <w:tabs>
          <w:tab w:val="left" w:pos="3285"/>
        </w:tabs>
        <w:ind w:left="28" w:firstLine="0"/>
        <w:rPr>
          <w:rFonts w:ascii="Bookman Old Style" w:hAnsi="Bookman Old Style"/>
        </w:rPr>
      </w:pPr>
      <w:r w:rsidRPr="000D5805">
        <w:rPr>
          <w:rFonts w:ascii="Bookman Old Style" w:hAnsi="Bookman Old Style"/>
        </w:rPr>
        <w:t>Il</w:t>
      </w:r>
      <w:r>
        <w:rPr>
          <w:rFonts w:ascii="Bookman Old Style" w:hAnsi="Bookman Old Style"/>
          <w:b/>
        </w:rPr>
        <w:t xml:space="preserve"> comma 921</w:t>
      </w:r>
      <w:r w:rsidRPr="000D5805">
        <w:rPr>
          <w:rFonts w:ascii="Bookman Old Style" w:hAnsi="Bookman Old Style"/>
        </w:rPr>
        <w:t>, in accoglimento di uno dei punti dell’accordo del 29 novembre</w:t>
      </w:r>
      <w:r>
        <w:rPr>
          <w:rFonts w:ascii="Bookman Old Style" w:hAnsi="Bookman Old Style"/>
        </w:rPr>
        <w:t>, s</w:t>
      </w:r>
      <w:r w:rsidR="009D199E" w:rsidRPr="000D5805">
        <w:rPr>
          <w:rFonts w:ascii="Bookman Old Style" w:hAnsi="Bookman Old Style"/>
        </w:rPr>
        <w:t>tabilisce</w:t>
      </w:r>
      <w:r w:rsidR="009D199E" w:rsidRPr="001B41BD">
        <w:rPr>
          <w:rFonts w:ascii="Bookman Old Style" w:hAnsi="Bookman Old Style"/>
        </w:rPr>
        <w:t xml:space="preserve"> che il fondo di solidarietà comunale è confermato per l’anno 2019 sulla base degli importi indicati per ciascun ente negli allegati al decreto del Presidente del Consiglio dei Ministri 7 marzo 2018, pubblicato nella Gazzetta Ufficiale n. 83 del 10 aprile 2018</w:t>
      </w:r>
      <w:r w:rsidR="00001DDC">
        <w:rPr>
          <w:rFonts w:ascii="Bookman Old Style" w:hAnsi="Bookman Old Style"/>
        </w:rPr>
        <w:t xml:space="preserve">, fatte </w:t>
      </w:r>
      <w:r w:rsidR="009D199E" w:rsidRPr="001B41BD">
        <w:rPr>
          <w:rFonts w:ascii="Bookman Old Style" w:hAnsi="Bookman Old Style"/>
        </w:rPr>
        <w:t xml:space="preserve">salve le </w:t>
      </w:r>
      <w:r w:rsidR="00001DDC">
        <w:rPr>
          <w:rFonts w:ascii="Bookman Old Style" w:hAnsi="Bookman Old Style"/>
        </w:rPr>
        <w:t>“</w:t>
      </w:r>
      <w:r w:rsidR="009D199E" w:rsidRPr="00001DDC">
        <w:rPr>
          <w:rFonts w:ascii="Bookman Old Style" w:hAnsi="Bookman Old Style"/>
          <w:i/>
        </w:rPr>
        <w:t>operazioni aritmetiche</w:t>
      </w:r>
      <w:r w:rsidR="00001DDC">
        <w:rPr>
          <w:rFonts w:ascii="Bookman Old Style" w:hAnsi="Bookman Old Style"/>
        </w:rPr>
        <w:t>”</w:t>
      </w:r>
      <w:r w:rsidR="009D199E" w:rsidRPr="001B41BD">
        <w:rPr>
          <w:rFonts w:ascii="Bookman Old Style" w:hAnsi="Bookman Old Style"/>
        </w:rPr>
        <w:t xml:space="preserve"> </w:t>
      </w:r>
      <w:r w:rsidR="00001DDC">
        <w:rPr>
          <w:rFonts w:ascii="Bookman Old Style" w:hAnsi="Bookman Old Style"/>
        </w:rPr>
        <w:t xml:space="preserve">necessarie per considerare i </w:t>
      </w:r>
      <w:r w:rsidR="009D199E" w:rsidRPr="001B41BD">
        <w:rPr>
          <w:rFonts w:ascii="Bookman Old Style" w:hAnsi="Bookman Old Style"/>
        </w:rPr>
        <w:t xml:space="preserve">nuovi comuni risultanti da procedure di fusione. Rimangono confermate le modalità di erogazione degli importi da parte del Ministero dell’interno e le modalità di recupero da parte dell’Agenzia delle entrate degli importi dovuti a titolo di alimentazione del Fondo. </w:t>
      </w:r>
    </w:p>
    <w:p w:rsidR="009D199E" w:rsidRDefault="00001DDC" w:rsidP="00001DDC">
      <w:pPr>
        <w:tabs>
          <w:tab w:val="left" w:pos="3285"/>
        </w:tabs>
        <w:ind w:left="28" w:firstLine="0"/>
        <w:rPr>
          <w:rFonts w:ascii="Bookman Old Style" w:hAnsi="Bookman Old Style"/>
        </w:rPr>
      </w:pPr>
      <w:r>
        <w:rPr>
          <w:rFonts w:ascii="Bookman Old Style" w:hAnsi="Bookman Old Style"/>
        </w:rPr>
        <w:t xml:space="preserve">Viene inoltre riportato in legge </w:t>
      </w:r>
      <w:r w:rsidR="00816197">
        <w:rPr>
          <w:rFonts w:ascii="Bookman Old Style" w:hAnsi="Bookman Old Style"/>
        </w:rPr>
        <w:t>l’ammontare dell’</w:t>
      </w:r>
      <w:r w:rsidR="009D199E" w:rsidRPr="001B41BD">
        <w:rPr>
          <w:rFonts w:ascii="Bookman Old Style" w:hAnsi="Bookman Old Style"/>
        </w:rPr>
        <w:t xml:space="preserve">accantonamento </w:t>
      </w:r>
      <w:r>
        <w:rPr>
          <w:rFonts w:ascii="Bookman Old Style" w:hAnsi="Bookman Old Style"/>
        </w:rPr>
        <w:t>(1</w:t>
      </w:r>
      <w:r w:rsidR="009D199E" w:rsidRPr="001B41BD">
        <w:rPr>
          <w:rFonts w:ascii="Bookman Old Style" w:hAnsi="Bookman Old Style"/>
        </w:rPr>
        <w:t>5 milioni di euro</w:t>
      </w:r>
      <w:r>
        <w:rPr>
          <w:rFonts w:ascii="Bookman Old Style" w:hAnsi="Bookman Old Style"/>
        </w:rPr>
        <w:t>) fin qui stabilito tramite il DPCM</w:t>
      </w:r>
      <w:r w:rsidR="009D199E" w:rsidRPr="001B41BD">
        <w:rPr>
          <w:rFonts w:ascii="Bookman Old Style" w:hAnsi="Bookman Old Style"/>
        </w:rPr>
        <w:t xml:space="preserve"> </w:t>
      </w:r>
      <w:r>
        <w:rPr>
          <w:rFonts w:ascii="Bookman Old Style" w:hAnsi="Bookman Old Style"/>
        </w:rPr>
        <w:t xml:space="preserve">di determinazione del FSC </w:t>
      </w:r>
      <w:r w:rsidR="009D199E" w:rsidRPr="001B41BD">
        <w:rPr>
          <w:rFonts w:ascii="Bookman Old Style" w:hAnsi="Bookman Old Style"/>
        </w:rPr>
        <w:t>e il prioritario utilizzo dello stesso per le medesime finalità dell'anno 2018</w:t>
      </w:r>
      <w:r>
        <w:rPr>
          <w:rFonts w:ascii="Bookman Old Style" w:hAnsi="Bookman Old Style"/>
        </w:rPr>
        <w:t>: la compensazione di eventuali rettifiche delle stime dei gettiti standard e di talune compensazioni di gettiti immobiliari perduti a seguito di agevolazioni disposte per legge, con assegnazione delle eccedenze non utilizzate ad integrazione delle risorse incentivanti le fusioni di Comuni</w:t>
      </w:r>
      <w:r w:rsidR="009D199E" w:rsidRPr="001B41BD">
        <w:rPr>
          <w:rFonts w:ascii="Bookman Old Style" w:hAnsi="Bookman Old Style"/>
        </w:rPr>
        <w:t xml:space="preserve">. </w:t>
      </w:r>
    </w:p>
    <w:p w:rsidR="00001DDC" w:rsidRDefault="006A3BAC" w:rsidP="00001DDC">
      <w:pPr>
        <w:tabs>
          <w:tab w:val="left" w:pos="3285"/>
        </w:tabs>
        <w:ind w:left="28" w:firstLine="0"/>
        <w:rPr>
          <w:rFonts w:ascii="Bookman Old Style" w:hAnsi="Bookman Old Style"/>
        </w:rPr>
      </w:pPr>
      <w:r>
        <w:rPr>
          <w:rFonts w:ascii="Bookman Old Style" w:hAnsi="Bookman Old Style"/>
        </w:rPr>
        <w:t xml:space="preserve">La sospensione </w:t>
      </w:r>
      <w:r w:rsidR="00001DDC">
        <w:rPr>
          <w:rFonts w:ascii="Bookman Old Style" w:hAnsi="Bookman Old Style"/>
        </w:rPr>
        <w:t xml:space="preserve">dell’incremento della percentuale di risorse oggetto di perequazione, che nel 2019 </w:t>
      </w:r>
      <w:r>
        <w:rPr>
          <w:rFonts w:ascii="Bookman Old Style" w:hAnsi="Bookman Old Style"/>
        </w:rPr>
        <w:t xml:space="preserve">era prevista crescere al </w:t>
      </w:r>
      <w:r w:rsidR="00001DDC">
        <w:rPr>
          <w:rFonts w:ascii="Bookman Old Style" w:hAnsi="Bookman Old Style"/>
        </w:rPr>
        <w:t>60% rispetto al 45% del 2018</w:t>
      </w:r>
      <w:r>
        <w:rPr>
          <w:rFonts w:ascii="Bookman Old Style" w:hAnsi="Bookman Old Style"/>
        </w:rPr>
        <w:t>, è stat</w:t>
      </w:r>
      <w:r w:rsidR="00AD2D56">
        <w:rPr>
          <w:rFonts w:ascii="Bookman Old Style" w:hAnsi="Bookman Old Style"/>
        </w:rPr>
        <w:t>a</w:t>
      </w:r>
      <w:r>
        <w:rPr>
          <w:rFonts w:ascii="Bookman Old Style" w:hAnsi="Bookman Old Style"/>
        </w:rPr>
        <w:t xml:space="preserve"> richiest</w:t>
      </w:r>
      <w:r w:rsidR="00AD2D56">
        <w:rPr>
          <w:rFonts w:ascii="Bookman Old Style" w:hAnsi="Bookman Old Style"/>
        </w:rPr>
        <w:t>a</w:t>
      </w:r>
      <w:r>
        <w:rPr>
          <w:rFonts w:ascii="Bookman Old Style" w:hAnsi="Bookman Old Style"/>
        </w:rPr>
        <w:t xml:space="preserve"> dall’ANCI per permettere un approfondimento degli effetti del percorso perequativo avviato nel 2015 anche alla luce delle rilevanti discordanze con le norme fondamentali di origine, in particolare la legge n. 42 del 2009, sul federalismo fiscale</w:t>
      </w:r>
      <w:r w:rsidR="00AD2D56">
        <w:rPr>
          <w:rFonts w:ascii="Bookman Old Style" w:hAnsi="Bookman Old Style"/>
        </w:rPr>
        <w:t>.</w:t>
      </w:r>
    </w:p>
    <w:p w:rsidR="00AD2D56" w:rsidRDefault="00AD2D56" w:rsidP="00001DDC">
      <w:pPr>
        <w:tabs>
          <w:tab w:val="left" w:pos="3285"/>
        </w:tabs>
        <w:ind w:left="28" w:firstLine="0"/>
        <w:rPr>
          <w:rFonts w:ascii="Bookman Old Style" w:hAnsi="Bookman Old Style"/>
        </w:rPr>
      </w:pPr>
    </w:p>
    <w:p w:rsidR="00001DDC" w:rsidRPr="00015041" w:rsidRDefault="00001DDC" w:rsidP="00001DDC">
      <w:pPr>
        <w:pStyle w:val="Titolo2"/>
        <w:ind w:firstLine="0"/>
        <w:rPr>
          <w:rFonts w:ascii="Bookman Old Style" w:hAnsi="Bookman Old Style"/>
          <w:b/>
          <w:sz w:val="22"/>
          <w:szCs w:val="22"/>
        </w:rPr>
      </w:pPr>
      <w:bookmarkStart w:id="19" w:name="_Toc533979313"/>
      <w:bookmarkStart w:id="20" w:name="_Toc534027969"/>
      <w:r>
        <w:rPr>
          <w:rFonts w:ascii="Bookman Old Style" w:hAnsi="Bookman Old Style"/>
          <w:b/>
          <w:sz w:val="22"/>
          <w:szCs w:val="22"/>
        </w:rPr>
        <w:t>B</w:t>
      </w:r>
      <w:r w:rsidRPr="00015041">
        <w:rPr>
          <w:rFonts w:ascii="Bookman Old Style" w:hAnsi="Bookman Old Style"/>
          <w:b/>
          <w:sz w:val="22"/>
          <w:szCs w:val="22"/>
        </w:rPr>
        <w:t xml:space="preserve">ando </w:t>
      </w:r>
      <w:r>
        <w:rPr>
          <w:rFonts w:ascii="Bookman Old Style" w:hAnsi="Bookman Old Style"/>
          <w:b/>
          <w:sz w:val="22"/>
          <w:szCs w:val="22"/>
        </w:rPr>
        <w:t>P</w:t>
      </w:r>
      <w:r w:rsidRPr="00015041">
        <w:rPr>
          <w:rFonts w:ascii="Bookman Old Style" w:hAnsi="Bookman Old Style"/>
          <w:b/>
          <w:sz w:val="22"/>
          <w:szCs w:val="22"/>
        </w:rPr>
        <w:t>eriferie: ripristino risorse</w:t>
      </w:r>
      <w:bookmarkEnd w:id="19"/>
      <w:bookmarkEnd w:id="20"/>
      <w:r w:rsidRPr="00015041">
        <w:rPr>
          <w:rFonts w:ascii="Bookman Old Style" w:hAnsi="Bookman Old Style"/>
          <w:b/>
          <w:sz w:val="22"/>
          <w:szCs w:val="22"/>
        </w:rPr>
        <w:t xml:space="preserve">  </w:t>
      </w:r>
    </w:p>
    <w:p w:rsidR="00C32A5C" w:rsidRDefault="00001DDC" w:rsidP="00001DDC">
      <w:pPr>
        <w:shd w:val="clear" w:color="auto" w:fill="FFFFFF"/>
        <w:ind w:firstLine="0"/>
        <w:rPr>
          <w:rFonts w:ascii="Bookman Old Style" w:hAnsi="Bookman Old Style"/>
          <w:color w:val="000000"/>
        </w:rPr>
      </w:pPr>
      <w:r w:rsidRPr="000D5805">
        <w:rPr>
          <w:rFonts w:ascii="Bookman Old Style" w:hAnsi="Bookman Old Style"/>
          <w:szCs w:val="22"/>
        </w:rPr>
        <w:t>Il</w:t>
      </w:r>
      <w:r>
        <w:rPr>
          <w:rFonts w:ascii="Bookman Old Style" w:hAnsi="Bookman Old Style"/>
          <w:b/>
          <w:szCs w:val="22"/>
        </w:rPr>
        <w:t xml:space="preserve"> </w:t>
      </w:r>
      <w:r w:rsidRPr="00015041">
        <w:rPr>
          <w:rFonts w:ascii="Bookman Old Style" w:hAnsi="Bookman Old Style"/>
          <w:b/>
          <w:szCs w:val="22"/>
        </w:rPr>
        <w:t>comma 913</w:t>
      </w:r>
      <w:r>
        <w:rPr>
          <w:rFonts w:ascii="Bookman Old Style" w:hAnsi="Bookman Old Style"/>
          <w:b/>
          <w:szCs w:val="22"/>
        </w:rPr>
        <w:t xml:space="preserve"> </w:t>
      </w:r>
      <w:r w:rsidRPr="009D199E">
        <w:rPr>
          <w:rFonts w:ascii="Bookman Old Style" w:hAnsi="Bookman Old Style"/>
          <w:color w:val="000000"/>
        </w:rPr>
        <w:t xml:space="preserve">dà seguito all’Accordo raggiunto </w:t>
      </w:r>
      <w:r>
        <w:rPr>
          <w:rFonts w:ascii="Bookman Old Style" w:hAnsi="Bookman Old Style"/>
          <w:color w:val="000000"/>
        </w:rPr>
        <w:t xml:space="preserve">il </w:t>
      </w:r>
      <w:r w:rsidRPr="009D199E">
        <w:rPr>
          <w:rFonts w:ascii="Bookman Old Style" w:hAnsi="Bookman Old Style"/>
          <w:color w:val="000000"/>
        </w:rPr>
        <w:t>18 ottobre 2018 tra il Governo e l’ANCI</w:t>
      </w:r>
      <w:r>
        <w:rPr>
          <w:rFonts w:ascii="Bookman Old Style" w:hAnsi="Bookman Old Style"/>
          <w:b/>
          <w:color w:val="000000"/>
        </w:rPr>
        <w:t xml:space="preserve"> </w:t>
      </w:r>
      <w:r w:rsidRPr="009D199E">
        <w:rPr>
          <w:rFonts w:ascii="Bookman Old Style" w:hAnsi="Bookman Old Style"/>
          <w:color w:val="000000"/>
        </w:rPr>
        <w:t>presso la</w:t>
      </w:r>
      <w:r>
        <w:rPr>
          <w:rFonts w:ascii="Bookman Old Style" w:hAnsi="Bookman Old Style"/>
          <w:b/>
          <w:color w:val="000000"/>
        </w:rPr>
        <w:t xml:space="preserve"> </w:t>
      </w:r>
      <w:r w:rsidRPr="009D199E">
        <w:rPr>
          <w:rFonts w:ascii="Bookman Old Style" w:hAnsi="Bookman Old Style"/>
          <w:color w:val="000000"/>
        </w:rPr>
        <w:t xml:space="preserve">Conferenza unificata </w:t>
      </w:r>
      <w:r w:rsidRPr="000924D8">
        <w:rPr>
          <w:rFonts w:ascii="Bookman Old Style" w:hAnsi="Bookman Old Style"/>
          <w:color w:val="000000"/>
        </w:rPr>
        <w:t>e</w:t>
      </w:r>
      <w:r w:rsidRPr="00051A6E">
        <w:rPr>
          <w:rFonts w:ascii="Bookman Old Style" w:hAnsi="Bookman Old Style"/>
          <w:color w:val="000000"/>
        </w:rPr>
        <w:t xml:space="preserve"> interviene sulle risorse destinate al programma straordinario per le periferie urbane di cui all'articolo 1, commi da 974 a 978, della legge n. 208 del 2015</w:t>
      </w:r>
      <w:r>
        <w:rPr>
          <w:rFonts w:ascii="Bookman Old Style" w:hAnsi="Bookman Old Style"/>
          <w:color w:val="000000"/>
        </w:rPr>
        <w:t xml:space="preserve">. La norma </w:t>
      </w:r>
      <w:r w:rsidRPr="00051A6E">
        <w:rPr>
          <w:rFonts w:ascii="Bookman Old Style" w:hAnsi="Bookman Old Style"/>
          <w:color w:val="000000"/>
        </w:rPr>
        <w:t>prevede</w:t>
      </w:r>
      <w:r>
        <w:rPr>
          <w:rFonts w:ascii="Bookman Old Style" w:hAnsi="Bookman Old Style"/>
          <w:color w:val="000000"/>
        </w:rPr>
        <w:t xml:space="preserve"> </w:t>
      </w:r>
      <w:r w:rsidRPr="00051A6E">
        <w:rPr>
          <w:rFonts w:ascii="Bookman Old Style" w:hAnsi="Bookman Old Style"/>
          <w:color w:val="000000"/>
        </w:rPr>
        <w:t>che le convenzioni in essere</w:t>
      </w:r>
      <w:r>
        <w:rPr>
          <w:rFonts w:ascii="Bookman Old Style" w:hAnsi="Bookman Old Style"/>
          <w:color w:val="000000"/>
        </w:rPr>
        <w:t xml:space="preserve"> </w:t>
      </w:r>
      <w:r w:rsidRPr="00051A6E">
        <w:rPr>
          <w:rFonts w:ascii="Bookman Old Style" w:hAnsi="Bookman Old Style"/>
          <w:color w:val="000000"/>
        </w:rPr>
        <w:t xml:space="preserve">producano </w:t>
      </w:r>
      <w:r w:rsidRPr="005132B6">
        <w:rPr>
          <w:rFonts w:ascii="Bookman Old Style" w:hAnsi="Bookman Old Style"/>
          <w:b/>
          <w:color w:val="000000"/>
        </w:rPr>
        <w:t>effetti finanziari dal 2019</w:t>
      </w:r>
      <w:r w:rsidRPr="00051A6E">
        <w:rPr>
          <w:rFonts w:ascii="Bookman Old Style" w:hAnsi="Bookman Old Style"/>
          <w:color w:val="000000"/>
        </w:rPr>
        <w:t xml:space="preserve">. Viene quindi superato quanto stabilito, dall'articolo 13, comma 2, del decreto-legge n. 91 del 2018, che aveva previsto il congelamento </w:t>
      </w:r>
      <w:r>
        <w:rPr>
          <w:rFonts w:ascii="Bookman Old Style" w:hAnsi="Bookman Old Style"/>
          <w:color w:val="000000"/>
        </w:rPr>
        <w:t xml:space="preserve">fino al 2020 </w:t>
      </w:r>
      <w:r w:rsidRPr="00051A6E">
        <w:rPr>
          <w:rFonts w:ascii="Bookman Old Style" w:hAnsi="Bookman Old Style"/>
          <w:color w:val="000000"/>
        </w:rPr>
        <w:t xml:space="preserve">delle risorse </w:t>
      </w:r>
      <w:r>
        <w:rPr>
          <w:rFonts w:ascii="Bookman Old Style" w:hAnsi="Bookman Old Style"/>
          <w:color w:val="000000"/>
        </w:rPr>
        <w:t xml:space="preserve">relative a 96 enti locali (Comuni capoluogo e </w:t>
      </w:r>
      <w:r w:rsidR="00A74219">
        <w:rPr>
          <w:rFonts w:ascii="Bookman Old Style" w:hAnsi="Bookman Old Style"/>
          <w:color w:val="000000"/>
        </w:rPr>
        <w:t xml:space="preserve">alcune </w:t>
      </w:r>
      <w:r>
        <w:rPr>
          <w:rFonts w:ascii="Bookman Old Style" w:hAnsi="Bookman Old Style"/>
          <w:color w:val="000000"/>
        </w:rPr>
        <w:t>Città metropolitane</w:t>
      </w:r>
      <w:r w:rsidR="00A74219">
        <w:rPr>
          <w:rFonts w:ascii="Bookman Old Style" w:hAnsi="Bookman Old Style"/>
          <w:color w:val="000000"/>
        </w:rPr>
        <w:t>)</w:t>
      </w:r>
      <w:r w:rsidRPr="00051A6E">
        <w:rPr>
          <w:rFonts w:ascii="Bookman Old Style" w:hAnsi="Bookman Old Style"/>
          <w:color w:val="000000"/>
        </w:rPr>
        <w:t xml:space="preserve">. Tali effetti sono limitati al rimborso delle spese effettivamente sostenute e documentate. </w:t>
      </w:r>
    </w:p>
    <w:p w:rsidR="00001DDC" w:rsidRDefault="00001DDC" w:rsidP="00001DDC">
      <w:pPr>
        <w:shd w:val="clear" w:color="auto" w:fill="FFFFFF"/>
        <w:ind w:firstLine="0"/>
        <w:rPr>
          <w:rFonts w:ascii="Bookman Old Style" w:hAnsi="Bookman Old Style"/>
          <w:color w:val="000000"/>
        </w:rPr>
      </w:pPr>
      <w:r w:rsidRPr="00051A6E">
        <w:rPr>
          <w:rFonts w:ascii="Bookman Old Style" w:hAnsi="Bookman Old Style"/>
          <w:color w:val="000000"/>
        </w:rPr>
        <w:t xml:space="preserve">Le risorse relative alle economie di spesa prodotte nel corso degli interventi rimangono nel Fondo di provenienza, per essere destinate a interventi per spese di investimento dei Comuni e delle </w:t>
      </w:r>
      <w:r>
        <w:rPr>
          <w:rFonts w:ascii="Bookman Old Style" w:hAnsi="Bookman Old Style"/>
          <w:color w:val="000000"/>
        </w:rPr>
        <w:t>C</w:t>
      </w:r>
      <w:r w:rsidRPr="00051A6E">
        <w:rPr>
          <w:rFonts w:ascii="Bookman Old Style" w:hAnsi="Bookman Old Style"/>
          <w:color w:val="000000"/>
        </w:rPr>
        <w:t>ittà metropolitane. Al rimborso delle spese si provvede mediante utilizzo dei residui iscritti nel Fondo per lo sviluppo e la coesione per le medesime finalità del Programma straordinario in esame.</w:t>
      </w:r>
      <w:r>
        <w:rPr>
          <w:rFonts w:ascii="Bookman Old Style" w:hAnsi="Bookman Old Style"/>
          <w:color w:val="000000"/>
        </w:rPr>
        <w:t xml:space="preserve"> La revisione degli utilizzi delle economie comporta la modifica delle convenzioni</w:t>
      </w:r>
      <w:r w:rsidR="006E5836">
        <w:rPr>
          <w:rFonts w:ascii="Bookman Old Style" w:hAnsi="Bookman Old Style"/>
          <w:color w:val="000000"/>
        </w:rPr>
        <w:t xml:space="preserve"> in essere tra la Presidenza del Consiglio e tutti gli enti beneficiari del Bando Periferie (110 tra Comuni capoluogo e Città metropolitane), da attuarsi nel gennaio 2019.</w:t>
      </w:r>
    </w:p>
    <w:p w:rsidR="006E5836" w:rsidRPr="00051A6E" w:rsidRDefault="006E5836" w:rsidP="00001DDC">
      <w:pPr>
        <w:shd w:val="clear" w:color="auto" w:fill="FFFFFF"/>
        <w:ind w:firstLine="0"/>
        <w:rPr>
          <w:rFonts w:ascii="Bookman Old Style" w:hAnsi="Bookman Old Style"/>
          <w:color w:val="000000"/>
        </w:rPr>
      </w:pPr>
    </w:p>
    <w:p w:rsidR="00A44F22" w:rsidRDefault="006E5836" w:rsidP="00BF63E4">
      <w:pPr>
        <w:pStyle w:val="Titolo1"/>
        <w:ind w:left="284" w:firstLine="0"/>
        <w:rPr>
          <w:rFonts w:ascii="Bookman Old Style" w:eastAsiaTheme="minorHAnsi" w:hAnsi="Bookman Old Style"/>
          <w:b/>
          <w:sz w:val="24"/>
          <w:szCs w:val="24"/>
          <w:lang w:eastAsia="en-US"/>
        </w:rPr>
      </w:pPr>
      <w:bookmarkStart w:id="21" w:name="_Toc533979314"/>
      <w:bookmarkStart w:id="22" w:name="_Toc534027970"/>
      <w:r w:rsidRPr="006E5836">
        <w:rPr>
          <w:rFonts w:ascii="Bookman Old Style" w:eastAsiaTheme="minorHAnsi" w:hAnsi="Bookman Old Style"/>
          <w:b/>
          <w:sz w:val="24"/>
          <w:szCs w:val="24"/>
          <w:lang w:eastAsia="en-US"/>
        </w:rPr>
        <w:t xml:space="preserve">ALTRE NORME </w:t>
      </w:r>
      <w:r>
        <w:rPr>
          <w:rFonts w:ascii="Bookman Old Style" w:eastAsiaTheme="minorHAnsi" w:hAnsi="Bookman Old Style"/>
          <w:b/>
          <w:sz w:val="24"/>
          <w:szCs w:val="24"/>
          <w:lang w:eastAsia="en-US"/>
        </w:rPr>
        <w:t>SULLA DISCIPLINA DEI TRIBUTI E SULLE ENTRATE CORRENTI COMUNALI</w:t>
      </w:r>
      <w:bookmarkEnd w:id="21"/>
      <w:bookmarkEnd w:id="22"/>
      <w:r w:rsidRPr="006E5836">
        <w:rPr>
          <w:rFonts w:ascii="Bookman Old Style" w:eastAsiaTheme="minorHAnsi" w:hAnsi="Bookman Old Style"/>
          <w:b/>
          <w:sz w:val="24"/>
          <w:szCs w:val="24"/>
          <w:lang w:eastAsia="en-US"/>
        </w:rPr>
        <w:t xml:space="preserve"> </w:t>
      </w:r>
    </w:p>
    <w:p w:rsidR="006E5836" w:rsidRDefault="006E5836" w:rsidP="00BF63E4">
      <w:pPr>
        <w:keepNext/>
        <w:rPr>
          <w:lang w:eastAsia="en-US"/>
        </w:rPr>
      </w:pPr>
    </w:p>
    <w:p w:rsidR="006E5836" w:rsidRPr="00EE032A" w:rsidRDefault="006E5836" w:rsidP="00BF63E4">
      <w:pPr>
        <w:pStyle w:val="Titolo2"/>
        <w:ind w:firstLine="0"/>
        <w:rPr>
          <w:rFonts w:ascii="Bookman Old Style" w:hAnsi="Bookman Old Style"/>
          <w:b/>
          <w:sz w:val="22"/>
          <w:szCs w:val="22"/>
        </w:rPr>
      </w:pPr>
      <w:bookmarkStart w:id="23" w:name="_Toc533777774"/>
      <w:bookmarkStart w:id="24" w:name="_Toc533979315"/>
      <w:bookmarkStart w:id="25" w:name="_Toc534027971"/>
      <w:r w:rsidRPr="00EE032A">
        <w:rPr>
          <w:rFonts w:ascii="Bookman Old Style" w:hAnsi="Bookman Old Style"/>
          <w:b/>
          <w:sz w:val="22"/>
          <w:szCs w:val="22"/>
        </w:rPr>
        <w:t xml:space="preserve">Deducibilità dell'IMU </w:t>
      </w:r>
      <w:r>
        <w:rPr>
          <w:rFonts w:ascii="Bookman Old Style" w:hAnsi="Bookman Old Style"/>
          <w:b/>
          <w:sz w:val="22"/>
          <w:szCs w:val="22"/>
        </w:rPr>
        <w:t xml:space="preserve">sugli </w:t>
      </w:r>
      <w:r w:rsidRPr="00EE032A">
        <w:rPr>
          <w:rFonts w:ascii="Bookman Old Style" w:hAnsi="Bookman Old Style"/>
          <w:b/>
          <w:sz w:val="22"/>
          <w:szCs w:val="22"/>
        </w:rPr>
        <w:t>immobili strumentali ai fini dell'IRES e dell'IRPEF</w:t>
      </w:r>
      <w:bookmarkEnd w:id="23"/>
      <w:bookmarkEnd w:id="24"/>
      <w:bookmarkEnd w:id="25"/>
    </w:p>
    <w:p w:rsidR="006E5836" w:rsidRDefault="006E5836" w:rsidP="006E5836">
      <w:pPr>
        <w:ind w:firstLine="0"/>
        <w:rPr>
          <w:rFonts w:ascii="Bookman Old Style" w:hAnsi="Bookman Old Style"/>
        </w:rPr>
      </w:pPr>
      <w:r w:rsidRPr="00EE032A">
        <w:rPr>
          <w:rFonts w:ascii="Bookman Old Style" w:hAnsi="Bookman Old Style"/>
        </w:rPr>
        <w:t xml:space="preserve">Il </w:t>
      </w:r>
      <w:r w:rsidRPr="00714A95">
        <w:rPr>
          <w:rFonts w:ascii="Bookman Old Style" w:hAnsi="Bookman Old Style"/>
          <w:b/>
        </w:rPr>
        <w:t>comma 12</w:t>
      </w:r>
      <w:r w:rsidRPr="00EE032A">
        <w:rPr>
          <w:rFonts w:ascii="Bookman Old Style" w:hAnsi="Bookman Old Style"/>
        </w:rPr>
        <w:t xml:space="preserve"> modifica l’articolo 14, co</w:t>
      </w:r>
      <w:r>
        <w:rPr>
          <w:rFonts w:ascii="Bookman Old Style" w:hAnsi="Bookman Old Style"/>
        </w:rPr>
        <w:t xml:space="preserve">mma 1, del d.lgs. n. 23/2011, portando dal 20 al 40% </w:t>
      </w:r>
      <w:r w:rsidRPr="00EE032A">
        <w:rPr>
          <w:rFonts w:ascii="Bookman Old Style" w:hAnsi="Bookman Old Style"/>
        </w:rPr>
        <w:t>la percentuale di deducibilità dell’IMU dovuta sugli immobili strumentali dalle imposte sui redditi.</w:t>
      </w:r>
      <w:r>
        <w:rPr>
          <w:rFonts w:ascii="Bookman Old Style" w:hAnsi="Bookman Old Style"/>
        </w:rPr>
        <w:t xml:space="preserve"> La norma non ha effetti quantitativi sulle entrate comunali se non nel senso di diminuire la distanza tra la deducibilità dell’IMU (ora 40%) e la deducibilità della Tasi (100%). </w:t>
      </w:r>
    </w:p>
    <w:p w:rsidR="00BF63E4" w:rsidRDefault="00BF63E4" w:rsidP="006E5836">
      <w:pPr>
        <w:ind w:firstLine="0"/>
        <w:rPr>
          <w:rFonts w:ascii="Bookman Old Style" w:hAnsi="Bookman Old Style"/>
        </w:rPr>
      </w:pPr>
    </w:p>
    <w:p w:rsidR="008D2AEB" w:rsidRPr="00036521" w:rsidRDefault="008D2AEB" w:rsidP="00BF63E4">
      <w:pPr>
        <w:pStyle w:val="Titolo2"/>
        <w:ind w:firstLine="0"/>
        <w:rPr>
          <w:rFonts w:ascii="Bookman Old Style" w:hAnsi="Bookman Old Style"/>
          <w:b/>
          <w:sz w:val="22"/>
          <w:szCs w:val="22"/>
        </w:rPr>
      </w:pPr>
      <w:bookmarkStart w:id="26" w:name="_Toc533777798"/>
      <w:bookmarkStart w:id="27" w:name="_Toc533979316"/>
      <w:bookmarkStart w:id="28" w:name="_Toc534027972"/>
      <w:r>
        <w:rPr>
          <w:rFonts w:ascii="Bookman Old Style" w:hAnsi="Bookman Old Style"/>
          <w:b/>
          <w:sz w:val="22"/>
          <w:szCs w:val="22"/>
        </w:rPr>
        <w:t xml:space="preserve">Estensione agevolazione comodati ai fini </w:t>
      </w:r>
      <w:r w:rsidRPr="00036521">
        <w:rPr>
          <w:rFonts w:ascii="Bookman Old Style" w:hAnsi="Bookman Old Style"/>
          <w:b/>
          <w:sz w:val="22"/>
          <w:szCs w:val="22"/>
        </w:rPr>
        <w:t>dell’IMU</w:t>
      </w:r>
      <w:bookmarkEnd w:id="26"/>
      <w:bookmarkEnd w:id="27"/>
      <w:bookmarkEnd w:id="28"/>
    </w:p>
    <w:p w:rsidR="008D2AEB" w:rsidRDefault="008D2AEB" w:rsidP="008D2AEB">
      <w:pPr>
        <w:ind w:firstLine="0"/>
        <w:rPr>
          <w:rFonts w:ascii="Bookman Old Style" w:hAnsi="Bookman Old Style"/>
        </w:rPr>
      </w:pPr>
      <w:r w:rsidRPr="00714A95">
        <w:rPr>
          <w:rFonts w:ascii="Bookman Old Style" w:hAnsi="Bookman Old Style"/>
        </w:rPr>
        <w:t xml:space="preserve">Il </w:t>
      </w:r>
      <w:r w:rsidRPr="00180E55">
        <w:rPr>
          <w:rFonts w:ascii="Bookman Old Style" w:hAnsi="Bookman Old Style"/>
          <w:b/>
        </w:rPr>
        <w:t>comma 1092</w:t>
      </w:r>
      <w:r w:rsidRPr="00714A95">
        <w:rPr>
          <w:rFonts w:ascii="Bookman Old Style" w:hAnsi="Bookman Old Style"/>
        </w:rPr>
        <w:t xml:space="preserve"> estende la riduzione del 50 per cento della base imponibile IMU, prevista dalla legge per </w:t>
      </w:r>
      <w:r>
        <w:rPr>
          <w:rFonts w:ascii="Bookman Old Style" w:hAnsi="Bookman Old Style"/>
        </w:rPr>
        <w:t xml:space="preserve">le abitazioni </w:t>
      </w:r>
      <w:r w:rsidRPr="00714A95">
        <w:rPr>
          <w:rFonts w:ascii="Bookman Old Style" w:hAnsi="Bookman Old Style"/>
        </w:rPr>
        <w:t>concess</w:t>
      </w:r>
      <w:r>
        <w:rPr>
          <w:rFonts w:ascii="Bookman Old Style" w:hAnsi="Bookman Old Style"/>
        </w:rPr>
        <w:t>e</w:t>
      </w:r>
      <w:r w:rsidRPr="00714A95">
        <w:rPr>
          <w:rFonts w:ascii="Bookman Old Style" w:hAnsi="Bookman Old Style"/>
        </w:rPr>
        <w:t xml:space="preserve"> in comodato d’uso a parenti in linea retta, anche al coniuge del comodatario, in caso di morte di quest’ultimo in presenza di figli minori.</w:t>
      </w:r>
      <w:r>
        <w:rPr>
          <w:rFonts w:ascii="Bookman Old Style" w:hAnsi="Bookman Old Style"/>
        </w:rPr>
        <w:t xml:space="preserve"> La norma ha effetti negativi minimi sul gettito dell’IMU e permette di superare ostacoli formali per la piena fruizione dell’agevolazione sui comodati tra familiari.</w:t>
      </w:r>
    </w:p>
    <w:p w:rsidR="00A74219" w:rsidRPr="00714A95" w:rsidRDefault="00A74219" w:rsidP="008D2AEB">
      <w:pPr>
        <w:ind w:firstLine="0"/>
        <w:rPr>
          <w:rFonts w:ascii="Bookman Old Style" w:hAnsi="Bookman Old Style"/>
        </w:rPr>
      </w:pPr>
    </w:p>
    <w:p w:rsidR="008D2AEB" w:rsidRPr="00036521" w:rsidRDefault="008D2AEB" w:rsidP="008D2AEB">
      <w:pPr>
        <w:pStyle w:val="Titolo2"/>
        <w:ind w:firstLine="0"/>
        <w:rPr>
          <w:rFonts w:ascii="Bookman Old Style" w:hAnsi="Bookman Old Style"/>
          <w:b/>
          <w:sz w:val="22"/>
          <w:szCs w:val="22"/>
        </w:rPr>
      </w:pPr>
      <w:bookmarkStart w:id="29" w:name="_Toc533777797"/>
      <w:bookmarkStart w:id="30" w:name="_Toc533979317"/>
      <w:bookmarkStart w:id="31" w:name="_Toc534027973"/>
      <w:r w:rsidRPr="00036521">
        <w:rPr>
          <w:rFonts w:ascii="Bookman Old Style" w:hAnsi="Bookman Old Style"/>
          <w:b/>
          <w:sz w:val="22"/>
          <w:szCs w:val="22"/>
        </w:rPr>
        <w:t>Incentivi agli uffici tributi</w:t>
      </w:r>
      <w:bookmarkEnd w:id="29"/>
      <w:bookmarkEnd w:id="30"/>
      <w:bookmarkEnd w:id="31"/>
    </w:p>
    <w:p w:rsidR="008D2AEB" w:rsidRPr="00714A95" w:rsidRDefault="008D2AEB" w:rsidP="008D2AEB">
      <w:pPr>
        <w:ind w:firstLine="0"/>
        <w:rPr>
          <w:rFonts w:ascii="Bookman Old Style" w:hAnsi="Bookman Old Style"/>
        </w:rPr>
      </w:pPr>
      <w:r w:rsidRPr="008D2AEB">
        <w:rPr>
          <w:rFonts w:ascii="Bookman Old Style" w:hAnsi="Bookman Old Style"/>
        </w:rPr>
        <w:t>Il</w:t>
      </w:r>
      <w:r w:rsidRPr="00180E55">
        <w:rPr>
          <w:rFonts w:ascii="Bookman Old Style" w:hAnsi="Bookman Old Style"/>
          <w:b/>
        </w:rPr>
        <w:t xml:space="preserve"> comma 1091</w:t>
      </w:r>
      <w:r w:rsidRPr="00714A95">
        <w:rPr>
          <w:rFonts w:ascii="Bookman Old Style" w:hAnsi="Bookman Old Style"/>
        </w:rPr>
        <w:t xml:space="preserve">, </w:t>
      </w:r>
      <w:r>
        <w:rPr>
          <w:rFonts w:ascii="Bookman Old Style" w:hAnsi="Bookman Old Style"/>
        </w:rPr>
        <w:t>recependo una proposta da tempo formulata dall’ANCI</w:t>
      </w:r>
      <w:r w:rsidRPr="00714A95">
        <w:rPr>
          <w:rFonts w:ascii="Bookman Old Style" w:hAnsi="Bookman Old Style"/>
        </w:rPr>
        <w:t xml:space="preserve">, consente ai </w:t>
      </w:r>
      <w:r>
        <w:rPr>
          <w:rFonts w:ascii="Bookman Old Style" w:hAnsi="Bookman Old Style"/>
        </w:rPr>
        <w:t>C</w:t>
      </w:r>
      <w:r w:rsidRPr="00714A95">
        <w:rPr>
          <w:rFonts w:ascii="Bookman Old Style" w:hAnsi="Bookman Old Style"/>
        </w:rPr>
        <w:t>omuni che hanno approvato il bilancio di previsione ed il rendiconto entro i termini di legge, di destinare, con proprio regolamento, il maggiore gettito accertato e riscosso, relativo agli accertamenti dell’IMU e della TARI, nell’esercizio fiscale precedente a quello di riferimento risultante dal conto consuntivo approvato, nella misura massima del 5% e limitatamente all’anno di riferimento, al potenziamento delle risorse strumentali degli uffici comunali preposti alla gestione delle entrate e al trattamento accessorio del personale dipendente, anche di qualifica dirigenziale, in deroga ai limiti di legge</w:t>
      </w:r>
      <w:r w:rsidR="00826975">
        <w:rPr>
          <w:rFonts w:ascii="Bookman Old Style" w:hAnsi="Bookman Old Style"/>
        </w:rPr>
        <w:t xml:space="preserve"> relativi all’ammontare complessivo del dei fondi destinabili al salario accessorio</w:t>
      </w:r>
      <w:r w:rsidRPr="00714A95">
        <w:rPr>
          <w:rFonts w:ascii="Bookman Old Style" w:hAnsi="Bookman Old Style"/>
        </w:rPr>
        <w:t>.</w:t>
      </w:r>
    </w:p>
    <w:p w:rsidR="008D2AEB" w:rsidRPr="00714A95" w:rsidRDefault="008D2AEB" w:rsidP="00826975">
      <w:pPr>
        <w:ind w:firstLine="0"/>
        <w:rPr>
          <w:rFonts w:ascii="Bookman Old Style" w:hAnsi="Bookman Old Style"/>
        </w:rPr>
      </w:pPr>
      <w:r w:rsidRPr="00714A95">
        <w:rPr>
          <w:rFonts w:ascii="Bookman Old Style" w:hAnsi="Bookman Old Style"/>
        </w:rPr>
        <w:t>La quota destinata al trattamento economico accessorio</w:t>
      </w:r>
      <w:r w:rsidR="00826975">
        <w:rPr>
          <w:rFonts w:ascii="Bookman Old Style" w:hAnsi="Bookman Old Style"/>
        </w:rPr>
        <w:t xml:space="preserve"> </w:t>
      </w:r>
      <w:r w:rsidRPr="00714A95">
        <w:rPr>
          <w:rFonts w:ascii="Bookman Old Style" w:hAnsi="Bookman Old Style"/>
        </w:rPr>
        <w:t>è attribuita</w:t>
      </w:r>
      <w:r w:rsidR="00826975">
        <w:rPr>
          <w:rFonts w:ascii="Bookman Old Style" w:hAnsi="Bookman Old Style"/>
        </w:rPr>
        <w:t xml:space="preserve"> </w:t>
      </w:r>
      <w:r w:rsidRPr="00714A95">
        <w:rPr>
          <w:rFonts w:ascii="Bookman Old Style" w:hAnsi="Bookman Old Style"/>
        </w:rPr>
        <w:t xml:space="preserve">al personale impiegato nel raggiungimento degli obiettivi del settore entrate, anche con riferimento </w:t>
      </w:r>
      <w:r w:rsidR="00826975">
        <w:rPr>
          <w:rFonts w:ascii="Bookman Old Style" w:hAnsi="Bookman Old Style"/>
        </w:rPr>
        <w:t xml:space="preserve">alle </w:t>
      </w:r>
      <w:r w:rsidRPr="00714A95">
        <w:rPr>
          <w:rFonts w:ascii="Bookman Old Style" w:hAnsi="Bookman Old Style"/>
        </w:rPr>
        <w:t xml:space="preserve">attività connesse alla partecipazione del comune all’accertamento dei tributi erariali e </w:t>
      </w:r>
      <w:r w:rsidR="00826975">
        <w:rPr>
          <w:rFonts w:ascii="Bookman Old Style" w:hAnsi="Bookman Old Style"/>
        </w:rPr>
        <w:t>dell’evasione contributiva (</w:t>
      </w:r>
      <w:r w:rsidR="00826975" w:rsidRPr="00826975">
        <w:rPr>
          <w:rFonts w:ascii="Bookman Old Style" w:hAnsi="Bookman Old Style"/>
          <w:i/>
        </w:rPr>
        <w:t>ex</w:t>
      </w:r>
      <w:r w:rsidR="00826975">
        <w:rPr>
          <w:rFonts w:ascii="Bookman Old Style" w:hAnsi="Bookman Old Style"/>
        </w:rPr>
        <w:t xml:space="preserve"> </w:t>
      </w:r>
      <w:r w:rsidRPr="00714A95">
        <w:rPr>
          <w:rFonts w:ascii="Bookman Old Style" w:hAnsi="Bookman Old Style"/>
        </w:rPr>
        <w:t>art</w:t>
      </w:r>
      <w:r w:rsidR="00826975">
        <w:rPr>
          <w:rFonts w:ascii="Bookman Old Style" w:hAnsi="Bookman Old Style"/>
        </w:rPr>
        <w:t xml:space="preserve">. </w:t>
      </w:r>
      <w:r w:rsidRPr="00714A95">
        <w:rPr>
          <w:rFonts w:ascii="Bookman Old Style" w:hAnsi="Bookman Old Style"/>
        </w:rPr>
        <w:t xml:space="preserve">1 </w:t>
      </w:r>
      <w:r w:rsidR="00826975">
        <w:rPr>
          <w:rFonts w:ascii="Bookman Old Style" w:hAnsi="Bookman Old Style"/>
        </w:rPr>
        <w:t xml:space="preserve">dl n. 203 del </w:t>
      </w:r>
      <w:r w:rsidRPr="00714A95">
        <w:rPr>
          <w:rFonts w:ascii="Bookman Old Style" w:hAnsi="Bookman Old Style"/>
        </w:rPr>
        <w:t>2005</w:t>
      </w:r>
      <w:r w:rsidR="00826975">
        <w:rPr>
          <w:rFonts w:ascii="Bookman Old Style" w:hAnsi="Bookman Old Style"/>
        </w:rPr>
        <w:t>)</w:t>
      </w:r>
      <w:r w:rsidRPr="00714A95">
        <w:rPr>
          <w:rFonts w:ascii="Bookman Old Style" w:hAnsi="Bookman Old Style"/>
        </w:rPr>
        <w:t>. Il beneficio attribuito non può superare il quindici per cento del trattamento tabellare annuo lordo individuale. Le norme in commento non si applicano qualora il servizio di accertamento sia affidato in concessione.</w:t>
      </w:r>
    </w:p>
    <w:p w:rsidR="008D2AEB" w:rsidRPr="00826975" w:rsidRDefault="00826975" w:rsidP="00826975">
      <w:pPr>
        <w:ind w:firstLine="0"/>
        <w:rPr>
          <w:rFonts w:ascii="Bookman Old Style" w:hAnsi="Bookman Old Style"/>
        </w:rPr>
      </w:pPr>
      <w:r w:rsidRPr="00BF63E4">
        <w:rPr>
          <w:rFonts w:ascii="Bookman Old Style" w:hAnsi="Bookman Old Style"/>
        </w:rPr>
        <w:t>Quest’ultima limitazione appare eccessiva</w:t>
      </w:r>
      <w:r w:rsidR="00BF63E4" w:rsidRPr="00BF63E4">
        <w:rPr>
          <w:rFonts w:ascii="Bookman Old Style" w:hAnsi="Bookman Old Style"/>
        </w:rPr>
        <w:t>,</w:t>
      </w:r>
      <w:r w:rsidR="00A74219" w:rsidRPr="00BF63E4">
        <w:rPr>
          <w:rFonts w:ascii="Bookman Old Style" w:hAnsi="Bookman Old Style"/>
        </w:rPr>
        <w:t xml:space="preserve"> in quanto</w:t>
      </w:r>
      <w:r w:rsidR="00BF63E4" w:rsidRPr="00BF63E4">
        <w:rPr>
          <w:rFonts w:ascii="Bookman Old Style" w:hAnsi="Bookman Old Style"/>
        </w:rPr>
        <w:t>,</w:t>
      </w:r>
      <w:r w:rsidR="00A74219" w:rsidRPr="00BF63E4">
        <w:rPr>
          <w:rFonts w:ascii="Bookman Old Style" w:hAnsi="Bookman Old Style"/>
        </w:rPr>
        <w:t xml:space="preserve"> anche in regime di affidamento </w:t>
      </w:r>
      <w:r w:rsidR="00BF63E4" w:rsidRPr="00BF63E4">
        <w:rPr>
          <w:rFonts w:ascii="Bookman Old Style" w:hAnsi="Bookman Old Style"/>
        </w:rPr>
        <w:t xml:space="preserve">esterno </w:t>
      </w:r>
      <w:r w:rsidR="00A74219" w:rsidRPr="00BF63E4">
        <w:rPr>
          <w:rFonts w:ascii="Bookman Old Style" w:hAnsi="Bookman Old Style"/>
        </w:rPr>
        <w:t>del servizio</w:t>
      </w:r>
      <w:r w:rsidR="00BF63E4" w:rsidRPr="00BF63E4">
        <w:rPr>
          <w:rFonts w:ascii="Bookman Old Style" w:hAnsi="Bookman Old Style"/>
        </w:rPr>
        <w:t>,</w:t>
      </w:r>
      <w:r w:rsidR="00A74219" w:rsidRPr="00BF63E4">
        <w:rPr>
          <w:rFonts w:ascii="Bookman Old Style" w:hAnsi="Bookman Old Style"/>
        </w:rPr>
        <w:t xml:space="preserve"> diverse attività possono e devono essere sviluppate all’interno delle strutture comunali per assicurare non solo il monitoraggio, ma anche il miglior funzionamento della concessione.</w:t>
      </w:r>
    </w:p>
    <w:p w:rsidR="008D2AEB" w:rsidRDefault="008D2AEB">
      <w:pPr>
        <w:spacing w:after="200" w:line="276" w:lineRule="auto"/>
        <w:ind w:firstLine="0"/>
        <w:jc w:val="left"/>
        <w:rPr>
          <w:lang w:eastAsia="en-US"/>
        </w:rPr>
      </w:pPr>
    </w:p>
    <w:p w:rsidR="00826975" w:rsidRPr="00036521" w:rsidRDefault="00826975" w:rsidP="00826975">
      <w:pPr>
        <w:pStyle w:val="Titolo2"/>
        <w:ind w:firstLine="0"/>
        <w:rPr>
          <w:rFonts w:ascii="Bookman Old Style" w:hAnsi="Bookman Old Style"/>
          <w:b/>
          <w:sz w:val="22"/>
          <w:szCs w:val="22"/>
        </w:rPr>
      </w:pPr>
      <w:bookmarkStart w:id="32" w:name="_Toc533777799"/>
      <w:bookmarkStart w:id="33" w:name="_Toc533979318"/>
      <w:bookmarkStart w:id="34" w:name="_Toc534027974"/>
      <w:r w:rsidRPr="00036521">
        <w:rPr>
          <w:rFonts w:ascii="Bookman Old Style" w:hAnsi="Bookman Old Style"/>
          <w:b/>
          <w:sz w:val="22"/>
          <w:szCs w:val="22"/>
        </w:rPr>
        <w:t>Coefficienti TARI</w:t>
      </w:r>
      <w:bookmarkEnd w:id="32"/>
      <w:bookmarkEnd w:id="33"/>
      <w:bookmarkEnd w:id="34"/>
    </w:p>
    <w:p w:rsidR="00826975" w:rsidRDefault="00826975" w:rsidP="00826975">
      <w:pPr>
        <w:ind w:firstLine="0"/>
        <w:rPr>
          <w:rFonts w:ascii="Bookman Old Style" w:hAnsi="Bookman Old Style"/>
        </w:rPr>
      </w:pPr>
      <w:r w:rsidRPr="00714A95">
        <w:rPr>
          <w:rFonts w:ascii="Bookman Old Style" w:hAnsi="Bookman Old Style"/>
        </w:rPr>
        <w:t>In attesa di una revisione complessiva del DPR 158/1999</w:t>
      </w:r>
      <w:r>
        <w:rPr>
          <w:rFonts w:ascii="Bookman Old Style" w:hAnsi="Bookman Old Style"/>
        </w:rPr>
        <w:t xml:space="preserve"> il </w:t>
      </w:r>
      <w:r w:rsidRPr="004D72BF">
        <w:rPr>
          <w:rFonts w:ascii="Bookman Old Style" w:hAnsi="Bookman Old Style"/>
          <w:b/>
        </w:rPr>
        <w:t>comma 1093</w:t>
      </w:r>
      <w:r w:rsidRPr="00714A95">
        <w:rPr>
          <w:rFonts w:ascii="Bookman Old Style" w:hAnsi="Bookman Old Style"/>
        </w:rPr>
        <w:t xml:space="preserve"> </w:t>
      </w:r>
      <w:r>
        <w:rPr>
          <w:rFonts w:ascii="Bookman Old Style" w:hAnsi="Bookman Old Style"/>
        </w:rPr>
        <w:t>estende</w:t>
      </w:r>
      <w:r w:rsidRPr="00714A95">
        <w:rPr>
          <w:rFonts w:ascii="Bookman Old Style" w:hAnsi="Bookman Old Style"/>
        </w:rPr>
        <w:t xml:space="preserve"> anche al 2019 la possibilità per i Comuni di adottare i coefficienti di cui alle tabelle 2, 3a, 3b, 4a e 4b dell'allegato 1 dello stesso DPR, in misura inferiore ai minimi o superiori ai massimi ivi indicati del 50 per cento</w:t>
      </w:r>
      <w:r>
        <w:rPr>
          <w:rFonts w:ascii="Bookman Old Style" w:hAnsi="Bookman Old Style"/>
        </w:rPr>
        <w:t>. La facoltà, in vigore da alcuni anni</w:t>
      </w:r>
      <w:r w:rsidR="00BF63E4">
        <w:rPr>
          <w:rFonts w:ascii="Bookman Old Style" w:hAnsi="Bookman Old Style"/>
        </w:rPr>
        <w:t>,</w:t>
      </w:r>
      <w:r>
        <w:rPr>
          <w:rFonts w:ascii="Bookman Old Style" w:hAnsi="Bookman Old Style"/>
        </w:rPr>
        <w:t xml:space="preserve"> è volta a </w:t>
      </w:r>
      <w:r w:rsidRPr="00714A95">
        <w:rPr>
          <w:rFonts w:ascii="Bookman Old Style" w:hAnsi="Bookman Old Style"/>
        </w:rPr>
        <w:t>semplificare l'individuazione dei coefficienti di graduazione delle tariffe Tari, evitando altresì cambiamenti troppo marcati del prelievo su talune categorie.</w:t>
      </w:r>
    </w:p>
    <w:p w:rsidR="008C5976" w:rsidRDefault="008C5976" w:rsidP="00826975">
      <w:pPr>
        <w:ind w:firstLine="0"/>
        <w:rPr>
          <w:rFonts w:ascii="Bookman Old Style" w:hAnsi="Bookman Old Style"/>
        </w:rPr>
      </w:pPr>
    </w:p>
    <w:p w:rsidR="008C5976" w:rsidRPr="008A69F8" w:rsidRDefault="008C5976" w:rsidP="008C5976">
      <w:pPr>
        <w:pStyle w:val="Titolo2"/>
        <w:ind w:firstLine="0"/>
        <w:rPr>
          <w:rFonts w:ascii="Bookman Old Style" w:hAnsi="Bookman Old Style"/>
          <w:b/>
          <w:sz w:val="22"/>
          <w:szCs w:val="22"/>
        </w:rPr>
      </w:pPr>
      <w:bookmarkStart w:id="35" w:name="_Toc533979319"/>
      <w:bookmarkStart w:id="36" w:name="_Toc534027975"/>
      <w:bookmarkStart w:id="37" w:name="_Toc533834820"/>
      <w:r w:rsidRPr="008A69F8">
        <w:rPr>
          <w:rFonts w:ascii="Bookman Old Style" w:hAnsi="Bookman Old Style"/>
          <w:b/>
          <w:sz w:val="22"/>
          <w:szCs w:val="22"/>
        </w:rPr>
        <w:t xml:space="preserve">Fondo </w:t>
      </w:r>
      <w:r>
        <w:rPr>
          <w:rFonts w:ascii="Bookman Old Style" w:hAnsi="Bookman Old Style"/>
          <w:b/>
          <w:sz w:val="22"/>
          <w:szCs w:val="22"/>
        </w:rPr>
        <w:t>“</w:t>
      </w:r>
      <w:r w:rsidRPr="008A69F8">
        <w:rPr>
          <w:rFonts w:ascii="Bookman Old Style" w:hAnsi="Bookman Old Style"/>
          <w:b/>
          <w:sz w:val="22"/>
          <w:szCs w:val="22"/>
        </w:rPr>
        <w:t>contenzioso enti locali</w:t>
      </w:r>
      <w:r>
        <w:rPr>
          <w:rFonts w:ascii="Bookman Old Style" w:hAnsi="Bookman Old Style"/>
          <w:b/>
          <w:sz w:val="22"/>
          <w:szCs w:val="22"/>
        </w:rPr>
        <w:t>”</w:t>
      </w:r>
      <w:bookmarkEnd w:id="35"/>
      <w:bookmarkEnd w:id="36"/>
      <w:r w:rsidRPr="008A69F8">
        <w:rPr>
          <w:rFonts w:ascii="Bookman Old Style" w:hAnsi="Bookman Old Style"/>
          <w:b/>
          <w:sz w:val="22"/>
          <w:szCs w:val="22"/>
        </w:rPr>
        <w:t xml:space="preserve"> </w:t>
      </w:r>
      <w:bookmarkEnd w:id="37"/>
    </w:p>
    <w:p w:rsidR="000B799D" w:rsidRDefault="008C5976" w:rsidP="008C5976">
      <w:pPr>
        <w:ind w:firstLine="0"/>
        <w:rPr>
          <w:rFonts w:ascii="Bookman Old Style" w:hAnsi="Bookman Old Style"/>
        </w:rPr>
      </w:pPr>
      <w:r>
        <w:rPr>
          <w:rFonts w:ascii="Bookman Old Style" w:hAnsi="Bookman Old Style"/>
        </w:rPr>
        <w:t>I</w:t>
      </w:r>
      <w:r w:rsidRPr="00714A95">
        <w:rPr>
          <w:rFonts w:ascii="Bookman Old Style" w:hAnsi="Bookman Old Style"/>
        </w:rPr>
        <w:t xml:space="preserve">l </w:t>
      </w:r>
      <w:r w:rsidRPr="00180E55">
        <w:rPr>
          <w:rFonts w:ascii="Bookman Old Style" w:hAnsi="Bookman Old Style"/>
          <w:b/>
        </w:rPr>
        <w:t>comma 764</w:t>
      </w:r>
      <w:r w:rsidRPr="00714A95">
        <w:rPr>
          <w:rFonts w:ascii="Bookman Old Style" w:hAnsi="Bookman Old Style"/>
        </w:rPr>
        <w:t xml:space="preserve"> dispone l'istituzione di un fondo di 20 milioni di euro, per ciascuno degli anni 2019, 2020 e 2021, e di 7 milioni di euro per ciascuno degli anni 2022 e 2023, per fronteggiare gli oneri che derivano dai contenziosi relativi </w:t>
      </w:r>
      <w:r w:rsidR="000B799D">
        <w:rPr>
          <w:rFonts w:ascii="Bookman Old Style" w:hAnsi="Bookman Old Style"/>
        </w:rPr>
        <w:t>“</w:t>
      </w:r>
      <w:r w:rsidRPr="000B799D">
        <w:rPr>
          <w:rFonts w:ascii="Bookman Old Style" w:hAnsi="Bookman Old Style"/>
          <w:i/>
        </w:rPr>
        <w:t>all’attribuzione di pregressi contributi erariali conseguenti alla soppressione o alla rimodulazione di imposte locali</w:t>
      </w:r>
      <w:r w:rsidR="000B799D">
        <w:rPr>
          <w:rFonts w:ascii="Bookman Old Style" w:hAnsi="Bookman Old Style"/>
        </w:rPr>
        <w:t>”</w:t>
      </w:r>
      <w:r w:rsidRPr="00714A95">
        <w:rPr>
          <w:rFonts w:ascii="Bookman Old Style" w:hAnsi="Bookman Old Style"/>
        </w:rPr>
        <w:t>.</w:t>
      </w:r>
    </w:p>
    <w:p w:rsidR="000B799D" w:rsidRDefault="000B799D" w:rsidP="008C5976">
      <w:pPr>
        <w:ind w:firstLine="0"/>
        <w:rPr>
          <w:rFonts w:ascii="Bookman Old Style" w:hAnsi="Bookman Old Style"/>
        </w:rPr>
      </w:pPr>
      <w:r>
        <w:rPr>
          <w:rFonts w:ascii="Bookman Old Style" w:hAnsi="Bookman Old Style"/>
        </w:rPr>
        <w:t xml:space="preserve">Il nuovo fondo è un’ulteriore dimostrazione delle difficoltà nelle quali versa il sistema di finanziamento dei Comuni, esposto a crescente insoddisfazione da parte degli enti e a contenziosi sulle numerose poste finanziarie oggetto di calcolo ai fini della determinazione dei rimborsi di gettiti fiscali e delle assegnazioni da Fondo di solidarietà. </w:t>
      </w:r>
    </w:p>
    <w:p w:rsidR="000B799D" w:rsidRDefault="000B799D" w:rsidP="000B799D">
      <w:pPr>
        <w:ind w:firstLine="0"/>
        <w:rPr>
          <w:rFonts w:ascii="Bookman Old Style" w:hAnsi="Bookman Old Style"/>
        </w:rPr>
      </w:pPr>
      <w:r w:rsidRPr="00714A95">
        <w:rPr>
          <w:rFonts w:ascii="Bookman Old Style" w:hAnsi="Bookman Old Style"/>
        </w:rPr>
        <w:t xml:space="preserve">Il fondo è istituito nello stato di previsione del Ministero dell’interno e può essere incrementato con le </w:t>
      </w:r>
      <w:r w:rsidR="00CE4CA4" w:rsidRPr="00CE4CA4">
        <w:rPr>
          <w:rFonts w:ascii="Bookman Old Style" w:hAnsi="Bookman Old Style"/>
        </w:rPr>
        <w:t>“</w:t>
      </w:r>
      <w:r w:rsidR="00CE4CA4" w:rsidRPr="00CE4CA4">
        <w:rPr>
          <w:rFonts w:ascii="Bookman Old Style" w:hAnsi="Bookman Old Style"/>
          <w:i/>
        </w:rPr>
        <w:t>risorse che si rendono disponibili nel corso dell'anno relative alle assegnazioni a qualunque titolo spettanti agli enti locali, corrisposte annualmente dal Ministero dell'interno</w:t>
      </w:r>
      <w:r w:rsidR="00CE4CA4" w:rsidRPr="00CE4CA4">
        <w:rPr>
          <w:rFonts w:ascii="Bookman Old Style" w:hAnsi="Bookman Old Style"/>
        </w:rPr>
        <w:t>”</w:t>
      </w:r>
      <w:r w:rsidR="00CE4CA4">
        <w:rPr>
          <w:rFonts w:ascii="Bookman Old Style" w:hAnsi="Bookman Old Style"/>
        </w:rPr>
        <w:t>, espressione poco chiara che sembra doversi riferire a residui di risorse non assegnate in quanto rivelatisi non spettanti</w:t>
      </w:r>
      <w:r w:rsidRPr="00714A95">
        <w:rPr>
          <w:rFonts w:ascii="Bookman Old Style" w:hAnsi="Bookman Old Style"/>
        </w:rPr>
        <w:t xml:space="preserve">. </w:t>
      </w:r>
    </w:p>
    <w:p w:rsidR="00CE4CA4" w:rsidRDefault="00CE4CA4" w:rsidP="000B799D">
      <w:pPr>
        <w:ind w:firstLine="0"/>
        <w:rPr>
          <w:rFonts w:ascii="Bookman Old Style" w:hAnsi="Bookman Old Style"/>
        </w:rPr>
      </w:pPr>
    </w:p>
    <w:p w:rsidR="000B799D" w:rsidRDefault="00CE4CA4" w:rsidP="008C5976">
      <w:pPr>
        <w:ind w:firstLine="0"/>
        <w:rPr>
          <w:rFonts w:ascii="Bookman Old Style" w:hAnsi="Bookman Old Style"/>
        </w:rPr>
      </w:pPr>
      <w:r>
        <w:rPr>
          <w:rFonts w:cs="Arial"/>
          <w:color w:val="333333"/>
          <w:sz w:val="20"/>
          <w:shd w:val="clear" w:color="auto" w:fill="FFFFFF"/>
        </w:rPr>
        <w:t> </w:t>
      </w:r>
    </w:p>
    <w:p w:rsidR="003F7C63" w:rsidRPr="003F7C63" w:rsidRDefault="003F7C63" w:rsidP="003F7C63">
      <w:pPr>
        <w:pStyle w:val="Titolo1"/>
        <w:ind w:left="284" w:firstLine="0"/>
        <w:rPr>
          <w:rFonts w:ascii="Bookman Old Style" w:eastAsiaTheme="minorHAnsi" w:hAnsi="Bookman Old Style" w:cs="Arial"/>
          <w:b/>
          <w:sz w:val="24"/>
          <w:szCs w:val="24"/>
          <w:lang w:eastAsia="en-US"/>
        </w:rPr>
      </w:pPr>
      <w:bookmarkStart w:id="38" w:name="_Toc533979320"/>
      <w:bookmarkStart w:id="39" w:name="_Toc534027976"/>
      <w:bookmarkStart w:id="40" w:name="OLE_LINK6"/>
      <w:r w:rsidRPr="003F7C63">
        <w:rPr>
          <w:rFonts w:ascii="Bookman Old Style" w:eastAsiaTheme="minorHAnsi" w:hAnsi="Bookman Old Style"/>
          <w:b/>
          <w:sz w:val="24"/>
          <w:szCs w:val="24"/>
          <w:lang w:eastAsia="en-US"/>
        </w:rPr>
        <w:t xml:space="preserve">ABOLIZIONE REGOLE FINANZIARIE AGGIUNTIVE, </w:t>
      </w:r>
      <w:r w:rsidRPr="003F7C63">
        <w:rPr>
          <w:rFonts w:ascii="Bookman Old Style" w:eastAsiaTheme="minorHAnsi" w:hAnsi="Bookman Old Style" w:cs="Arial"/>
          <w:b/>
          <w:sz w:val="24"/>
          <w:szCs w:val="24"/>
          <w:lang w:eastAsia="en-US"/>
        </w:rPr>
        <w:t>CONTABILITÀ</w:t>
      </w:r>
      <w:r w:rsidR="001D63AD">
        <w:rPr>
          <w:rFonts w:ascii="Bookman Old Style" w:eastAsiaTheme="minorHAnsi" w:hAnsi="Bookman Old Style" w:cs="Arial"/>
          <w:b/>
          <w:sz w:val="24"/>
          <w:szCs w:val="24"/>
          <w:lang w:eastAsia="en-US"/>
        </w:rPr>
        <w:t xml:space="preserve"> E</w:t>
      </w:r>
      <w:r w:rsidRPr="003F7C63">
        <w:rPr>
          <w:rFonts w:ascii="Bookman Old Style" w:eastAsiaTheme="minorHAnsi" w:hAnsi="Bookman Old Style" w:cs="Arial"/>
          <w:b/>
          <w:sz w:val="24"/>
          <w:szCs w:val="24"/>
          <w:lang w:eastAsia="en-US"/>
        </w:rPr>
        <w:t xml:space="preserve"> SEMPLIFICAZIONI</w:t>
      </w:r>
      <w:bookmarkEnd w:id="38"/>
      <w:bookmarkEnd w:id="39"/>
      <w:r w:rsidRPr="003F7C63">
        <w:rPr>
          <w:rFonts w:ascii="Bookman Old Style" w:eastAsiaTheme="minorHAnsi" w:hAnsi="Bookman Old Style" w:cs="Arial"/>
          <w:b/>
          <w:sz w:val="24"/>
          <w:szCs w:val="24"/>
          <w:lang w:eastAsia="en-US"/>
        </w:rPr>
        <w:t xml:space="preserve"> </w:t>
      </w:r>
    </w:p>
    <w:p w:rsidR="00F967FE" w:rsidRDefault="00F967FE" w:rsidP="00F967FE">
      <w:pPr>
        <w:pStyle w:val="Titolo2"/>
        <w:ind w:firstLine="0"/>
        <w:rPr>
          <w:rFonts w:ascii="Bookman Old Style" w:hAnsi="Bookman Old Style"/>
          <w:sz w:val="22"/>
          <w:szCs w:val="22"/>
        </w:rPr>
      </w:pPr>
      <w:bookmarkStart w:id="41" w:name="_Toc533839434"/>
    </w:p>
    <w:p w:rsidR="00FD0CA0" w:rsidRPr="00F967FE" w:rsidRDefault="00F967FE" w:rsidP="00F967FE">
      <w:pPr>
        <w:pStyle w:val="Titolo2"/>
        <w:ind w:firstLine="0"/>
        <w:rPr>
          <w:rFonts w:ascii="Bookman Old Style" w:hAnsi="Bookman Old Style"/>
          <w:b/>
          <w:sz w:val="22"/>
          <w:szCs w:val="22"/>
        </w:rPr>
      </w:pPr>
      <w:bookmarkStart w:id="42" w:name="_Toc533979321"/>
      <w:bookmarkStart w:id="43" w:name="_Toc534027977"/>
      <w:r w:rsidRPr="00F967FE">
        <w:rPr>
          <w:rFonts w:ascii="Bookman Old Style" w:hAnsi="Bookman Old Style"/>
          <w:b/>
          <w:sz w:val="22"/>
          <w:szCs w:val="22"/>
        </w:rPr>
        <w:t>Abolizione del saldo di competenza a decorrere dal 2019</w:t>
      </w:r>
      <w:bookmarkEnd w:id="41"/>
      <w:bookmarkEnd w:id="42"/>
      <w:bookmarkEnd w:id="43"/>
    </w:p>
    <w:p w:rsidR="00FD0CA0" w:rsidRDefault="00F967FE" w:rsidP="00BF63E4">
      <w:pPr>
        <w:autoSpaceDE w:val="0"/>
        <w:autoSpaceDN w:val="0"/>
        <w:adjustRightInd w:val="0"/>
        <w:spacing w:after="80"/>
        <w:ind w:firstLine="0"/>
        <w:rPr>
          <w:rFonts w:ascii="Bookman Old Style" w:hAnsi="Bookman Old Style" w:cstheme="minorHAnsi"/>
          <w:color w:val="000000" w:themeColor="text1"/>
        </w:rPr>
      </w:pPr>
      <w:r>
        <w:rPr>
          <w:rFonts w:ascii="Bookman Old Style" w:hAnsi="Bookman Old Style" w:cstheme="minorHAnsi"/>
          <w:color w:val="000000" w:themeColor="text1"/>
        </w:rPr>
        <w:t xml:space="preserve">I </w:t>
      </w:r>
      <w:r w:rsidRPr="00F967FE">
        <w:rPr>
          <w:rFonts w:ascii="Bookman Old Style" w:hAnsi="Bookman Old Style" w:cstheme="minorHAnsi"/>
          <w:b/>
          <w:color w:val="000000" w:themeColor="text1"/>
        </w:rPr>
        <w:t>commi da 819 a 826</w:t>
      </w:r>
      <w:r>
        <w:rPr>
          <w:rFonts w:ascii="Bookman Old Style" w:hAnsi="Bookman Old Style" w:cstheme="minorHAnsi"/>
          <w:color w:val="000000" w:themeColor="text1"/>
        </w:rPr>
        <w:t xml:space="preserve"> sanciscono il definitivo superamento del saldo di competenza in vigore dal 2016 e – più in generale – delle regole finanziarie aggiuntive rispetto alle norme generali sull’equilibrio di bilancio, imposte agli enti locali da un ventennio. </w:t>
      </w:r>
      <w:r w:rsidR="00FD0CA0">
        <w:rPr>
          <w:rFonts w:ascii="Bookman Old Style" w:hAnsi="Bookman Old Style" w:cstheme="minorHAnsi"/>
          <w:color w:val="000000" w:themeColor="text1"/>
        </w:rPr>
        <w:t>Dal 2019, in attuazione delle sentenze della Corte costituzionale n. 247 del 2017 e n. 101 del 2018</w:t>
      </w:r>
      <w:r w:rsidR="00FD0CA0" w:rsidRPr="00444C6B">
        <w:rPr>
          <w:rFonts w:ascii="Bookman Old Style" w:hAnsi="Bookman Old Style" w:cstheme="minorHAnsi"/>
          <w:color w:val="000000" w:themeColor="text1"/>
        </w:rPr>
        <w:t>,</w:t>
      </w:r>
      <w:r w:rsidR="00FD0CA0">
        <w:rPr>
          <w:rFonts w:ascii="Bookman Old Style" w:hAnsi="Bookman Old Style" w:cstheme="minorHAnsi"/>
          <w:color w:val="000000" w:themeColor="text1"/>
        </w:rPr>
        <w:t xml:space="preserve"> </w:t>
      </w:r>
      <w:r>
        <w:rPr>
          <w:rFonts w:ascii="Bookman Old Style" w:hAnsi="Bookman Old Style" w:cstheme="minorHAnsi"/>
          <w:color w:val="000000" w:themeColor="text1"/>
        </w:rPr>
        <w:t>gli enti locali (</w:t>
      </w:r>
      <w:r w:rsidR="00FD0CA0">
        <w:rPr>
          <w:rFonts w:ascii="Bookman Old Style" w:hAnsi="Bookman Old Style" w:cstheme="minorHAnsi"/>
          <w:color w:val="000000" w:themeColor="text1"/>
        </w:rPr>
        <w:t>le città metropolitane, le province ed i comuni</w:t>
      </w:r>
      <w:r>
        <w:rPr>
          <w:rFonts w:ascii="Bookman Old Style" w:hAnsi="Bookman Old Style" w:cstheme="minorHAnsi"/>
          <w:color w:val="000000" w:themeColor="text1"/>
        </w:rPr>
        <w:t>)</w:t>
      </w:r>
      <w:r w:rsidR="00FD0CA0">
        <w:rPr>
          <w:rFonts w:ascii="Bookman Old Style" w:hAnsi="Bookman Old Style" w:cstheme="minorHAnsi"/>
          <w:color w:val="000000" w:themeColor="text1"/>
        </w:rPr>
        <w:t xml:space="preserve"> potranno utilizzare in modo pieno sia il Fondo pluriennale vincolato di entrata sia l’avanzo di amministrazione ai fini dell’equilibrio di bilancio</w:t>
      </w:r>
      <w:r w:rsidR="00BF63E4">
        <w:rPr>
          <w:rFonts w:ascii="Bookman Old Style" w:hAnsi="Bookman Old Style" w:cstheme="minorHAnsi"/>
          <w:color w:val="000000" w:themeColor="text1"/>
        </w:rPr>
        <w:t xml:space="preserve"> (</w:t>
      </w:r>
      <w:r w:rsidR="00BF63E4" w:rsidRPr="00BF63E4">
        <w:rPr>
          <w:rFonts w:ascii="Bookman Old Style" w:hAnsi="Bookman Old Style" w:cstheme="minorHAnsi"/>
          <w:b/>
          <w:color w:val="000000" w:themeColor="text1"/>
        </w:rPr>
        <w:t>co. 820</w:t>
      </w:r>
      <w:r w:rsidR="00BF63E4" w:rsidRPr="00BF63E4">
        <w:rPr>
          <w:rFonts w:ascii="Bookman Old Style" w:hAnsi="Bookman Old Style" w:cstheme="minorHAnsi"/>
          <w:color w:val="000000" w:themeColor="text1"/>
        </w:rPr>
        <w:t>)</w:t>
      </w:r>
      <w:r w:rsidR="00FD0CA0">
        <w:rPr>
          <w:rFonts w:ascii="Bookman Old Style" w:hAnsi="Bookman Old Style" w:cstheme="minorHAnsi"/>
          <w:color w:val="000000" w:themeColor="text1"/>
        </w:rPr>
        <w:t xml:space="preserve">. Dall’anno prossimo, </w:t>
      </w:r>
      <w:r>
        <w:rPr>
          <w:rFonts w:ascii="Bookman Old Style" w:hAnsi="Bookman Old Style" w:cstheme="minorHAnsi"/>
          <w:color w:val="000000" w:themeColor="text1"/>
        </w:rPr>
        <w:t>dunque</w:t>
      </w:r>
      <w:r w:rsidR="00FD0CA0">
        <w:rPr>
          <w:rFonts w:ascii="Bookman Old Style" w:hAnsi="Bookman Old Style" w:cstheme="minorHAnsi"/>
          <w:color w:val="000000" w:themeColor="text1"/>
        </w:rPr>
        <w:t xml:space="preserve">, già in fase previsionale il </w:t>
      </w:r>
      <w:r w:rsidR="00FD0CA0" w:rsidRPr="00444C6B">
        <w:rPr>
          <w:rFonts w:ascii="Bookman Old Style" w:hAnsi="Bookman Old Style" w:cstheme="minorHAnsi"/>
          <w:color w:val="000000" w:themeColor="text1"/>
        </w:rPr>
        <w:t>vincolo di finanza pubblica</w:t>
      </w:r>
      <w:r w:rsidR="00FD0CA0">
        <w:rPr>
          <w:rFonts w:ascii="Bookman Old Style" w:hAnsi="Bookman Old Style" w:cstheme="minorHAnsi"/>
          <w:color w:val="000000" w:themeColor="text1"/>
        </w:rPr>
        <w:t xml:space="preserve"> </w:t>
      </w:r>
      <w:r w:rsidR="00FD0CA0" w:rsidRPr="00444C6B">
        <w:rPr>
          <w:rFonts w:ascii="Bookman Old Style" w:hAnsi="Bookman Old Style" w:cstheme="minorHAnsi"/>
          <w:color w:val="000000" w:themeColor="text1"/>
        </w:rPr>
        <w:t>coinciderà con gli equilibri ordinari disciplinati dall’armonizzazione contabile (D.lgs. 118/2011)</w:t>
      </w:r>
      <w:r>
        <w:rPr>
          <w:rFonts w:ascii="Bookman Old Style" w:hAnsi="Bookman Old Style" w:cstheme="minorHAnsi"/>
          <w:color w:val="000000" w:themeColor="text1"/>
        </w:rPr>
        <w:t xml:space="preserve"> e dal TUEL</w:t>
      </w:r>
      <w:r w:rsidR="00FD0CA0">
        <w:rPr>
          <w:rFonts w:ascii="Bookman Old Style" w:hAnsi="Bookman Old Style" w:cstheme="minorHAnsi"/>
          <w:color w:val="000000" w:themeColor="text1"/>
        </w:rPr>
        <w:t>, senza l’ulteriore limite fissato dal saldo finale di competenza non negativo. Gli enti, infatti, si considereranno “</w:t>
      </w:r>
      <w:r w:rsidR="00FD0CA0" w:rsidRPr="00F967FE">
        <w:rPr>
          <w:rFonts w:ascii="Bookman Old Style" w:hAnsi="Bookman Old Style" w:cstheme="minorHAnsi"/>
          <w:i/>
          <w:color w:val="000000" w:themeColor="text1"/>
        </w:rPr>
        <w:t>in equilibrio in presenza di un risultato di competenza non negativo</w:t>
      </w:r>
      <w:r w:rsidR="00FD0CA0">
        <w:rPr>
          <w:rFonts w:ascii="Bookman Old Style" w:hAnsi="Bookman Old Style" w:cstheme="minorHAnsi"/>
          <w:color w:val="000000" w:themeColor="text1"/>
        </w:rPr>
        <w:t>”, desunto “</w:t>
      </w:r>
      <w:r w:rsidR="00FD0CA0" w:rsidRPr="00F967FE">
        <w:rPr>
          <w:rFonts w:ascii="Bookman Old Style" w:hAnsi="Bookman Old Style" w:cstheme="minorHAnsi"/>
          <w:i/>
          <w:color w:val="000000" w:themeColor="text1"/>
        </w:rPr>
        <w:t>dal prospetto della verifica degli equilibri allegato al rendiconto</w:t>
      </w:r>
      <w:r w:rsidR="00FD0CA0">
        <w:rPr>
          <w:rFonts w:ascii="Bookman Old Style" w:hAnsi="Bookman Old Style" w:cstheme="minorHAnsi"/>
          <w:color w:val="000000" w:themeColor="text1"/>
        </w:rPr>
        <w:t>”</w:t>
      </w:r>
      <w:r>
        <w:rPr>
          <w:rFonts w:ascii="Bookman Old Style" w:hAnsi="Bookman Old Style" w:cstheme="minorHAnsi"/>
          <w:color w:val="000000" w:themeColor="text1"/>
        </w:rPr>
        <w:t>,</w:t>
      </w:r>
      <w:r w:rsidR="00FD0CA0" w:rsidRPr="003578C7">
        <w:rPr>
          <w:rFonts w:ascii="Bookman Old Style" w:hAnsi="Bookman Old Style" w:cstheme="minorHAnsi"/>
          <w:color w:val="000000" w:themeColor="text1"/>
        </w:rPr>
        <w:t xml:space="preserve"> </w:t>
      </w:r>
      <w:r w:rsidR="00FD0CA0">
        <w:rPr>
          <w:rFonts w:ascii="Bookman Old Style" w:hAnsi="Bookman Old Style" w:cstheme="minorHAnsi"/>
          <w:color w:val="000000" w:themeColor="text1"/>
        </w:rPr>
        <w:t>allegato 10 al</w:t>
      </w:r>
      <w:r w:rsidR="00FD0CA0" w:rsidRPr="003578C7">
        <w:rPr>
          <w:rFonts w:ascii="Bookman Old Style" w:hAnsi="Bookman Old Style" w:cstheme="minorHAnsi"/>
          <w:color w:val="000000" w:themeColor="text1"/>
        </w:rPr>
        <w:t xml:space="preserve"> d.lgs. 118/201</w:t>
      </w:r>
      <w:r w:rsidR="00FD0CA0">
        <w:rPr>
          <w:rFonts w:ascii="Bookman Old Style" w:hAnsi="Bookman Old Style" w:cstheme="minorHAnsi"/>
          <w:color w:val="000000" w:themeColor="text1"/>
        </w:rPr>
        <w:t>1</w:t>
      </w:r>
      <w:r w:rsidR="00833975">
        <w:rPr>
          <w:rFonts w:ascii="Bookman Old Style" w:hAnsi="Bookman Old Style" w:cstheme="minorHAnsi"/>
          <w:color w:val="000000" w:themeColor="text1"/>
        </w:rPr>
        <w:t xml:space="preserve"> (</w:t>
      </w:r>
      <w:r w:rsidR="00833975" w:rsidRPr="00833975">
        <w:rPr>
          <w:rFonts w:ascii="Bookman Old Style" w:hAnsi="Bookman Old Style" w:cstheme="minorHAnsi"/>
          <w:b/>
          <w:color w:val="000000" w:themeColor="text1"/>
        </w:rPr>
        <w:t>co. 821</w:t>
      </w:r>
      <w:r w:rsidR="00833975">
        <w:rPr>
          <w:rFonts w:ascii="Bookman Old Style" w:hAnsi="Bookman Old Style" w:cstheme="minorHAnsi"/>
          <w:color w:val="000000" w:themeColor="text1"/>
        </w:rPr>
        <w:t>)</w:t>
      </w:r>
      <w:r w:rsidR="00FD0CA0">
        <w:rPr>
          <w:rFonts w:ascii="Bookman Old Style" w:hAnsi="Bookman Old Style" w:cstheme="minorHAnsi"/>
          <w:color w:val="000000" w:themeColor="text1"/>
        </w:rPr>
        <w:t xml:space="preserve">. </w:t>
      </w:r>
    </w:p>
    <w:p w:rsidR="00833975" w:rsidRPr="00833975" w:rsidRDefault="00833975" w:rsidP="00833975">
      <w:pPr>
        <w:ind w:firstLine="0"/>
        <w:rPr>
          <w:rFonts w:ascii="Bookman Old Style" w:hAnsi="Bookman Old Style"/>
        </w:rPr>
      </w:pPr>
      <w:r w:rsidRPr="00833975">
        <w:rPr>
          <w:rFonts w:ascii="Bookman Old Style" w:hAnsi="Bookman Old Style"/>
        </w:rPr>
        <w:t xml:space="preserve">Il </w:t>
      </w:r>
      <w:r w:rsidRPr="00833975">
        <w:rPr>
          <w:rFonts w:ascii="Bookman Old Style" w:hAnsi="Bookman Old Style"/>
          <w:b/>
        </w:rPr>
        <w:t>comma 822</w:t>
      </w:r>
      <w:r w:rsidRPr="00833975">
        <w:rPr>
          <w:rFonts w:ascii="Bookman Old Style" w:hAnsi="Bookman Old Style"/>
        </w:rPr>
        <w:t xml:space="preserve"> richiama la clausola di salvaguardia (di cui all'art.17, co. 13, della legge 196/2009) che demanda al Ministro dell'economia l'adozione di iniziative legislative finalizzate ad assicurare il rispetto dell'articolo 81 della Costituzione qualora, nel corso dell’anno, risultino andamenti di spesa degli enti non coerenti con gli impegni finanziari assunti con l'Unione europea. </w:t>
      </w:r>
    </w:p>
    <w:p w:rsidR="00FD0CA0" w:rsidRDefault="00FD0CA0" w:rsidP="00BF63E4">
      <w:pPr>
        <w:autoSpaceDE w:val="0"/>
        <w:autoSpaceDN w:val="0"/>
        <w:adjustRightInd w:val="0"/>
        <w:spacing w:after="80"/>
        <w:ind w:firstLine="0"/>
        <w:rPr>
          <w:rFonts w:ascii="Bookman Old Style" w:hAnsi="Bookman Old Style" w:cstheme="minorHAnsi"/>
          <w:color w:val="000000" w:themeColor="text1"/>
        </w:rPr>
      </w:pPr>
      <w:r>
        <w:rPr>
          <w:rFonts w:ascii="Bookman Old Style" w:hAnsi="Bookman Old Style" w:cstheme="minorHAnsi"/>
          <w:color w:val="000000" w:themeColor="text1"/>
        </w:rPr>
        <w:t>Il nuovo impianto normativo</w:t>
      </w:r>
      <w:r w:rsidR="00F967FE">
        <w:rPr>
          <w:rFonts w:ascii="Bookman Old Style" w:hAnsi="Bookman Old Style" w:cstheme="minorHAnsi"/>
          <w:color w:val="000000" w:themeColor="text1"/>
        </w:rPr>
        <w:t xml:space="preserve"> </w:t>
      </w:r>
      <w:r w:rsidRPr="00644855">
        <w:rPr>
          <w:rFonts w:ascii="Bookman Old Style" w:hAnsi="Bookman Old Style" w:cstheme="minorHAnsi"/>
          <w:color w:val="000000" w:themeColor="text1"/>
        </w:rPr>
        <w:t xml:space="preserve">autorizza </w:t>
      </w:r>
      <w:r>
        <w:rPr>
          <w:rFonts w:ascii="Bookman Old Style" w:hAnsi="Bookman Old Style" w:cstheme="minorHAnsi"/>
          <w:color w:val="000000" w:themeColor="text1"/>
        </w:rPr>
        <w:t xml:space="preserve">non solo </w:t>
      </w:r>
      <w:r w:rsidRPr="00644855">
        <w:rPr>
          <w:rFonts w:ascii="Bookman Old Style" w:hAnsi="Bookman Old Style" w:cstheme="minorHAnsi"/>
          <w:color w:val="000000" w:themeColor="text1"/>
        </w:rPr>
        <w:t xml:space="preserve">l’utilizzo degli avanzi </w:t>
      </w:r>
      <w:r>
        <w:rPr>
          <w:rFonts w:ascii="Bookman Old Style" w:hAnsi="Bookman Old Style" w:cstheme="minorHAnsi"/>
          <w:color w:val="000000" w:themeColor="text1"/>
        </w:rPr>
        <w:t xml:space="preserve">di amministrazione </w:t>
      </w:r>
      <w:r w:rsidRPr="00644855">
        <w:rPr>
          <w:rFonts w:ascii="Bookman Old Style" w:hAnsi="Bookman Old Style" w:cstheme="minorHAnsi"/>
          <w:color w:val="000000" w:themeColor="text1"/>
        </w:rPr>
        <w:t xml:space="preserve">effettivamente disponibili </w:t>
      </w:r>
      <w:r>
        <w:rPr>
          <w:rFonts w:ascii="Bookman Old Style" w:hAnsi="Bookman Old Style" w:cstheme="minorHAnsi"/>
          <w:color w:val="000000" w:themeColor="text1"/>
        </w:rPr>
        <w:t xml:space="preserve">e del fondo pluriennale vincolato (compresa la quota derivante da indebitamento), ma anche l’assunzione </w:t>
      </w:r>
      <w:r w:rsidRPr="00644855">
        <w:rPr>
          <w:rFonts w:ascii="Bookman Old Style" w:hAnsi="Bookman Old Style" w:cstheme="minorHAnsi"/>
          <w:color w:val="000000" w:themeColor="text1"/>
        </w:rPr>
        <w:t xml:space="preserve">del debito nei </w:t>
      </w:r>
      <w:r>
        <w:rPr>
          <w:rFonts w:ascii="Bookman Old Style" w:hAnsi="Bookman Old Style" w:cstheme="minorHAnsi"/>
          <w:color w:val="000000" w:themeColor="text1"/>
        </w:rPr>
        <w:t xml:space="preserve">soli </w:t>
      </w:r>
      <w:r w:rsidRPr="00644855">
        <w:rPr>
          <w:rFonts w:ascii="Bookman Old Style" w:hAnsi="Bookman Old Style" w:cstheme="minorHAnsi"/>
          <w:color w:val="000000" w:themeColor="text1"/>
        </w:rPr>
        <w:t xml:space="preserve">limiti stabiliti </w:t>
      </w:r>
      <w:r>
        <w:rPr>
          <w:rFonts w:ascii="Bookman Old Style" w:hAnsi="Bookman Old Style" w:cstheme="minorHAnsi"/>
          <w:color w:val="000000" w:themeColor="text1"/>
        </w:rPr>
        <w:t>all’art. 204 de</w:t>
      </w:r>
      <w:r w:rsidRPr="00644855">
        <w:rPr>
          <w:rFonts w:ascii="Bookman Old Style" w:hAnsi="Bookman Old Style" w:cstheme="minorHAnsi"/>
          <w:color w:val="000000" w:themeColor="text1"/>
        </w:rPr>
        <w:t>l</w:t>
      </w:r>
      <w:r>
        <w:rPr>
          <w:rFonts w:ascii="Bookman Old Style" w:hAnsi="Bookman Old Style" w:cstheme="minorHAnsi"/>
          <w:color w:val="000000" w:themeColor="text1"/>
        </w:rPr>
        <w:t xml:space="preserve"> TUEL.</w:t>
      </w:r>
      <w:r w:rsidRPr="0090720D">
        <w:rPr>
          <w:rFonts w:ascii="Bookman Old Style" w:hAnsi="Bookman Old Style" w:cstheme="minorHAnsi"/>
          <w:color w:val="000000" w:themeColor="text1"/>
        </w:rPr>
        <w:t xml:space="preserve"> </w:t>
      </w:r>
      <w:r>
        <w:rPr>
          <w:rFonts w:ascii="Bookman Old Style" w:hAnsi="Bookman Old Style" w:cstheme="minorHAnsi"/>
          <w:color w:val="000000" w:themeColor="text1"/>
        </w:rPr>
        <w:t xml:space="preserve">Si tratta di </w:t>
      </w:r>
      <w:r w:rsidRPr="00444C6B">
        <w:rPr>
          <w:rFonts w:ascii="Bookman Old Style" w:hAnsi="Bookman Old Style" w:cstheme="minorHAnsi"/>
          <w:color w:val="000000" w:themeColor="text1"/>
        </w:rPr>
        <w:t>un fattore determinante per una maggiore autonomia nella gestione finanziaria dell’ente</w:t>
      </w:r>
      <w:r>
        <w:rPr>
          <w:rFonts w:ascii="Bookman Old Style" w:hAnsi="Bookman Old Style" w:cstheme="minorHAnsi"/>
          <w:color w:val="000000" w:themeColor="text1"/>
        </w:rPr>
        <w:t>, che potrà fare pieno affidamento non solo sul fondo pluriennale vincolato, ma anche su</w:t>
      </w:r>
      <w:r w:rsidRPr="00444C6B">
        <w:rPr>
          <w:rFonts w:ascii="Bookman Old Style" w:hAnsi="Bookman Old Style" w:cstheme="minorHAnsi"/>
          <w:color w:val="000000" w:themeColor="text1"/>
        </w:rPr>
        <w:t>gli avanzi disponibili</w:t>
      </w:r>
      <w:r>
        <w:rPr>
          <w:rFonts w:ascii="Bookman Old Style" w:hAnsi="Bookman Old Style" w:cstheme="minorHAnsi"/>
          <w:color w:val="000000" w:themeColor="text1"/>
        </w:rPr>
        <w:t xml:space="preserve"> e sul</w:t>
      </w:r>
      <w:r w:rsidRPr="00444C6B">
        <w:rPr>
          <w:rFonts w:ascii="Bookman Old Style" w:hAnsi="Bookman Old Style" w:cstheme="minorHAnsi"/>
          <w:color w:val="000000" w:themeColor="text1"/>
        </w:rPr>
        <w:t>le risorse acquisite con debito (comprese le potenzialità di indebitamento nei limiti stabiliti dalle norme vigenti in materia)</w:t>
      </w:r>
      <w:r>
        <w:rPr>
          <w:rFonts w:ascii="Bookman Old Style" w:hAnsi="Bookman Old Style" w:cstheme="minorHAnsi"/>
          <w:color w:val="000000" w:themeColor="text1"/>
        </w:rPr>
        <w:t xml:space="preserve"> per le spese di investimento, che potranno pertanto </w:t>
      </w:r>
      <w:r w:rsidR="00F967FE">
        <w:rPr>
          <w:rFonts w:ascii="Bookman Old Style" w:hAnsi="Bookman Old Style" w:cstheme="minorHAnsi"/>
          <w:color w:val="000000" w:themeColor="text1"/>
        </w:rPr>
        <w:t>contare su un più ampio ventaglio di risorse a supporto</w:t>
      </w:r>
      <w:r>
        <w:rPr>
          <w:rFonts w:ascii="Bookman Old Style" w:hAnsi="Bookman Old Style" w:cstheme="minorHAnsi"/>
          <w:color w:val="000000" w:themeColor="text1"/>
        </w:rPr>
        <w:t xml:space="preserve">. </w:t>
      </w:r>
    </w:p>
    <w:p w:rsidR="00FD0CA0" w:rsidRDefault="00FD0CA0" w:rsidP="00BF63E4">
      <w:pPr>
        <w:autoSpaceDE w:val="0"/>
        <w:autoSpaceDN w:val="0"/>
        <w:adjustRightInd w:val="0"/>
        <w:spacing w:after="80"/>
        <w:ind w:firstLine="0"/>
        <w:rPr>
          <w:rFonts w:ascii="Bookman Old Style" w:hAnsi="Bookman Old Style" w:cstheme="minorHAnsi"/>
          <w:color w:val="000000" w:themeColor="text1"/>
        </w:rPr>
      </w:pPr>
      <w:r>
        <w:rPr>
          <w:rFonts w:ascii="Bookman Old Style" w:hAnsi="Bookman Old Style" w:cstheme="minorHAnsi"/>
          <w:color w:val="000000" w:themeColor="text1"/>
        </w:rPr>
        <w:t xml:space="preserve">Lo </w:t>
      </w:r>
      <w:r w:rsidRPr="00936442">
        <w:rPr>
          <w:rFonts w:ascii="Bookman Old Style" w:hAnsi="Bookman Old Style" w:cstheme="minorHAnsi"/>
          <w:color w:val="000000" w:themeColor="text1"/>
        </w:rPr>
        <w:t xml:space="preserve">sblocco degli avanzi garantirà un </w:t>
      </w:r>
      <w:r w:rsidR="00F967FE">
        <w:rPr>
          <w:rFonts w:ascii="Bookman Old Style" w:hAnsi="Bookman Old Style" w:cstheme="minorHAnsi"/>
          <w:color w:val="000000" w:themeColor="text1"/>
        </w:rPr>
        <w:t xml:space="preserve">significativo vantaggio </w:t>
      </w:r>
      <w:r w:rsidRPr="00936442">
        <w:rPr>
          <w:rFonts w:ascii="Bookman Old Style" w:hAnsi="Bookman Old Style" w:cstheme="minorHAnsi"/>
          <w:color w:val="000000" w:themeColor="text1"/>
        </w:rPr>
        <w:t xml:space="preserve">anche sul versante della parte corrente, in quanto non sarà più necessario trovare una ulteriore copertura per le spese afferenti </w:t>
      </w:r>
      <w:r>
        <w:rPr>
          <w:rFonts w:ascii="Bookman Old Style" w:hAnsi="Bookman Old Style" w:cstheme="minorHAnsi"/>
          <w:color w:val="000000" w:themeColor="text1"/>
        </w:rPr>
        <w:t>alle</w:t>
      </w:r>
      <w:r w:rsidRPr="00936442">
        <w:rPr>
          <w:rFonts w:ascii="Bookman Old Style" w:hAnsi="Bookman Old Style" w:cstheme="minorHAnsi"/>
          <w:color w:val="000000" w:themeColor="text1"/>
        </w:rPr>
        <w:t xml:space="preserve"> quote già accantonate in bilancio per obblighi di legge o per ragioni dettate dalla prudenza contabile (</w:t>
      </w:r>
      <w:r>
        <w:rPr>
          <w:rFonts w:ascii="Bookman Old Style" w:hAnsi="Bookman Old Style" w:cstheme="minorHAnsi"/>
          <w:color w:val="000000" w:themeColor="text1"/>
        </w:rPr>
        <w:t>f</w:t>
      </w:r>
      <w:r w:rsidRPr="00936442">
        <w:rPr>
          <w:rFonts w:ascii="Bookman Old Style" w:hAnsi="Bookman Old Style" w:cstheme="minorHAnsi"/>
          <w:color w:val="000000" w:themeColor="text1"/>
        </w:rPr>
        <w:t>ond</w:t>
      </w:r>
      <w:r>
        <w:rPr>
          <w:rFonts w:ascii="Bookman Old Style" w:hAnsi="Bookman Old Style" w:cstheme="minorHAnsi"/>
          <w:color w:val="000000" w:themeColor="text1"/>
        </w:rPr>
        <w:t>o</w:t>
      </w:r>
      <w:r w:rsidRPr="00936442">
        <w:rPr>
          <w:rFonts w:ascii="Bookman Old Style" w:hAnsi="Bookman Old Style" w:cstheme="minorHAnsi"/>
          <w:color w:val="000000" w:themeColor="text1"/>
        </w:rPr>
        <w:t xml:space="preserve"> contenziosi, </w:t>
      </w:r>
      <w:r>
        <w:rPr>
          <w:rFonts w:ascii="Bookman Old Style" w:hAnsi="Bookman Old Style" w:cstheme="minorHAnsi"/>
          <w:color w:val="000000" w:themeColor="text1"/>
        </w:rPr>
        <w:t xml:space="preserve">fondo </w:t>
      </w:r>
      <w:r w:rsidRPr="00936442">
        <w:rPr>
          <w:rFonts w:ascii="Bookman Old Style" w:hAnsi="Bookman Old Style" w:cstheme="minorHAnsi"/>
          <w:color w:val="000000" w:themeColor="text1"/>
        </w:rPr>
        <w:t xml:space="preserve">rischi …), fattore che costituiva un grave ed ingiustificato onere in capo al singolo ente. Sarà inoltre possibile realizzare progetti di spesa corrente finanziati da contributi (in primis regionali) confluiti in avanzo vincolato, mentre la quota di avanzo disponibile costituirà una sorta di entrata </w:t>
      </w:r>
      <w:r w:rsidRPr="00F46FEB">
        <w:rPr>
          <w:rFonts w:ascii="Bookman Old Style" w:hAnsi="Bookman Old Style" w:cstheme="minorHAnsi"/>
          <w:i/>
          <w:color w:val="000000" w:themeColor="text1"/>
        </w:rPr>
        <w:t>una tantum</w:t>
      </w:r>
      <w:r w:rsidRPr="00936442">
        <w:rPr>
          <w:rFonts w:ascii="Bookman Old Style" w:hAnsi="Bookman Old Style" w:cstheme="minorHAnsi"/>
          <w:color w:val="000000" w:themeColor="text1"/>
        </w:rPr>
        <w:t xml:space="preserve"> per finanziare </w:t>
      </w:r>
      <w:r w:rsidR="00F967FE">
        <w:rPr>
          <w:rFonts w:ascii="Bookman Old Style" w:hAnsi="Bookman Old Style" w:cstheme="minorHAnsi"/>
          <w:color w:val="000000" w:themeColor="text1"/>
        </w:rPr>
        <w:t xml:space="preserve">le </w:t>
      </w:r>
      <w:r w:rsidRPr="00936442">
        <w:rPr>
          <w:rFonts w:ascii="Bookman Old Style" w:hAnsi="Bookman Old Style" w:cstheme="minorHAnsi"/>
          <w:color w:val="000000" w:themeColor="text1"/>
        </w:rPr>
        <w:t>spese correnti «a carattere non permanente», nei limiti dell’articolo 187 del TUEL.</w:t>
      </w:r>
    </w:p>
    <w:p w:rsidR="00FD0CA0" w:rsidRPr="000B0C4D" w:rsidRDefault="00FD0CA0" w:rsidP="00BF63E4">
      <w:pPr>
        <w:autoSpaceDE w:val="0"/>
        <w:autoSpaceDN w:val="0"/>
        <w:adjustRightInd w:val="0"/>
        <w:spacing w:after="80"/>
        <w:ind w:firstLine="0"/>
        <w:rPr>
          <w:rFonts w:ascii="Bookman Old Style" w:hAnsi="Bookman Old Style" w:cstheme="minorHAnsi"/>
        </w:rPr>
      </w:pPr>
      <w:r w:rsidRPr="00D67300">
        <w:rPr>
          <w:rFonts w:ascii="Bookman Old Style" w:hAnsi="Bookman Old Style" w:cstheme="minorHAnsi"/>
          <w:color w:val="000000" w:themeColor="text1"/>
        </w:rPr>
        <w:t xml:space="preserve">Per quanto riguarda invece il Fondo pluriennale vincolato, con il superamento del saldo finale di competenza, le eccezioni per il mantenimento delle risorse nel FPV assumeranno una valenza strettamente contabile, </w:t>
      </w:r>
      <w:r>
        <w:rPr>
          <w:rFonts w:ascii="Bookman Old Style" w:hAnsi="Bookman Old Style" w:cstheme="minorHAnsi"/>
          <w:color w:val="000000" w:themeColor="text1"/>
        </w:rPr>
        <w:t xml:space="preserve">e </w:t>
      </w:r>
      <w:r w:rsidRPr="00D67300">
        <w:rPr>
          <w:rFonts w:ascii="Bookman Old Style" w:hAnsi="Bookman Old Style" w:cstheme="minorHAnsi"/>
          <w:color w:val="000000" w:themeColor="text1"/>
        </w:rPr>
        <w:t xml:space="preserve">non </w:t>
      </w:r>
      <w:r>
        <w:rPr>
          <w:rFonts w:ascii="Bookman Old Style" w:hAnsi="Bookman Old Style" w:cstheme="minorHAnsi"/>
          <w:color w:val="000000" w:themeColor="text1"/>
        </w:rPr>
        <w:t xml:space="preserve">costituiranno </w:t>
      </w:r>
      <w:r w:rsidRPr="00D67300">
        <w:rPr>
          <w:rFonts w:ascii="Bookman Old Style" w:hAnsi="Bookman Old Style" w:cstheme="minorHAnsi"/>
          <w:color w:val="000000" w:themeColor="text1"/>
        </w:rPr>
        <w:t xml:space="preserve">più una «strategia» utile </w:t>
      </w:r>
      <w:r>
        <w:rPr>
          <w:rFonts w:ascii="Bookman Old Style" w:hAnsi="Bookman Old Style" w:cstheme="minorHAnsi"/>
          <w:color w:val="000000" w:themeColor="text1"/>
        </w:rPr>
        <w:t xml:space="preserve">a garantire una </w:t>
      </w:r>
      <w:r w:rsidRPr="00D67300">
        <w:rPr>
          <w:rFonts w:ascii="Bookman Old Style" w:hAnsi="Bookman Old Style" w:cstheme="minorHAnsi"/>
          <w:color w:val="000000" w:themeColor="text1"/>
        </w:rPr>
        <w:t xml:space="preserve">copertura </w:t>
      </w:r>
      <w:r w:rsidRPr="000B0C4D">
        <w:rPr>
          <w:rFonts w:ascii="Bookman Old Style" w:hAnsi="Bookman Old Style" w:cstheme="minorHAnsi"/>
        </w:rPr>
        <w:t xml:space="preserve">delle spese di investimento ai fini del rispetto dei vincoli di finanza pubblica. L’opzione tra eccezione </w:t>
      </w:r>
      <w:r w:rsidRPr="00176BE0">
        <w:rPr>
          <w:rFonts w:ascii="Bookman Old Style" w:hAnsi="Bookman Old Style" w:cstheme="minorHAnsi"/>
          <w:i/>
        </w:rPr>
        <w:t>pro</w:t>
      </w:r>
      <w:r w:rsidRPr="000B0C4D">
        <w:rPr>
          <w:rFonts w:ascii="Bookman Old Style" w:hAnsi="Bookman Old Style" w:cstheme="minorHAnsi"/>
        </w:rPr>
        <w:t xml:space="preserve"> FPV e confluenza in avanzo delle risorse dovrà essere effettuata esclusivamente in relazione alla data di affidamento dei lavori (prima o dopo il 30 aprile)</w:t>
      </w:r>
      <w:r w:rsidR="00F967FE">
        <w:rPr>
          <w:rFonts w:ascii="Bookman Old Style" w:hAnsi="Bookman Old Style" w:cstheme="minorHAnsi"/>
        </w:rPr>
        <w:t>, al fine di assicurare la necessaria continuità agli interventi in corso</w:t>
      </w:r>
      <w:r w:rsidRPr="000B0C4D">
        <w:rPr>
          <w:rFonts w:ascii="Bookman Old Style" w:hAnsi="Bookman Old Style" w:cstheme="minorHAnsi"/>
        </w:rPr>
        <w:t>.</w:t>
      </w:r>
    </w:p>
    <w:p w:rsidR="00FD0CA0" w:rsidRDefault="00FD0CA0" w:rsidP="00BF63E4">
      <w:pPr>
        <w:spacing w:after="80"/>
        <w:ind w:firstLine="0"/>
        <w:rPr>
          <w:rFonts w:ascii="Bookman Old Style" w:hAnsi="Bookman Old Style"/>
        </w:rPr>
      </w:pPr>
      <w:r w:rsidRPr="00444C6B">
        <w:rPr>
          <w:rFonts w:ascii="Bookman Old Style" w:hAnsi="Bookman Old Style" w:cstheme="minorHAnsi"/>
          <w:color w:val="000000" w:themeColor="text1"/>
        </w:rPr>
        <w:t xml:space="preserve">L’abolizione dei vincoli di finanza pubblica </w:t>
      </w:r>
      <w:r>
        <w:rPr>
          <w:rFonts w:ascii="Bookman Old Style" w:hAnsi="Bookman Old Style" w:cstheme="minorHAnsi"/>
          <w:color w:val="000000" w:themeColor="text1"/>
        </w:rPr>
        <w:t xml:space="preserve">comporta, parallelamente, </w:t>
      </w:r>
      <w:r w:rsidRPr="00444C6B">
        <w:rPr>
          <w:rFonts w:ascii="Bookman Old Style" w:hAnsi="Bookman Old Style" w:cstheme="minorHAnsi"/>
          <w:color w:val="000000" w:themeColor="text1"/>
        </w:rPr>
        <w:t>rilevanti elementi di</w:t>
      </w:r>
      <w:r>
        <w:rPr>
          <w:rFonts w:ascii="Bookman Old Style" w:hAnsi="Bookman Old Style" w:cstheme="minorHAnsi"/>
          <w:color w:val="000000" w:themeColor="text1"/>
        </w:rPr>
        <w:t xml:space="preserve"> semplificazione amministrativa. Dal </w:t>
      </w:r>
      <w:r>
        <w:rPr>
          <w:rFonts w:ascii="Bookman Old Style" w:hAnsi="Bookman Old Style"/>
        </w:rPr>
        <w:t xml:space="preserve">2019 cessano di avere applicazione i commi della legge di bilancio 2017 e 2018 che riguardano non solo la definizione del saldo finale di competenza, ma anche quelli relativi alla presentazione di documenti collegati al saldo di finanza pubblica e agli adempimenti ad esso connessi: prospetto dimostrativo del rispetto del saldo, monitoraggio e certificazione, sanzioni per il mancato rispetto del saldo, </w:t>
      </w:r>
      <w:proofErr w:type="spellStart"/>
      <w:r>
        <w:rPr>
          <w:rFonts w:ascii="Bookman Old Style" w:hAnsi="Bookman Old Style"/>
        </w:rPr>
        <w:t>premialità</w:t>
      </w:r>
      <w:proofErr w:type="spellEnd"/>
      <w:r>
        <w:rPr>
          <w:rFonts w:ascii="Bookman Old Style" w:hAnsi="Bookman Old Style"/>
        </w:rPr>
        <w:t>. Viene altresì meno la normativa relativa agli spazi finanziari ed alle sanzioni previste in caso di mancato utilizzo degli stessi</w:t>
      </w:r>
      <w:r w:rsidR="00833975">
        <w:rPr>
          <w:rFonts w:ascii="Bookman Old Style" w:hAnsi="Bookman Old Style"/>
        </w:rPr>
        <w:t xml:space="preserve"> (</w:t>
      </w:r>
      <w:r w:rsidR="00833975" w:rsidRPr="00833975">
        <w:rPr>
          <w:rFonts w:ascii="Bookman Old Style" w:hAnsi="Bookman Old Style"/>
          <w:b/>
        </w:rPr>
        <w:t>co. 823</w:t>
      </w:r>
      <w:r w:rsidR="00833975">
        <w:rPr>
          <w:rFonts w:ascii="Bookman Old Style" w:hAnsi="Bookman Old Style"/>
        </w:rPr>
        <w:t>)</w:t>
      </w:r>
      <w:r>
        <w:rPr>
          <w:rFonts w:ascii="Bookman Old Style" w:hAnsi="Bookman Old Style"/>
        </w:rPr>
        <w:t>.</w:t>
      </w:r>
      <w:r w:rsidR="00833975">
        <w:rPr>
          <w:rFonts w:ascii="Bookman Old Style" w:hAnsi="Bookman Old Style"/>
        </w:rPr>
        <w:t xml:space="preserve"> </w:t>
      </w:r>
      <w:r>
        <w:rPr>
          <w:rFonts w:ascii="Bookman Old Style" w:hAnsi="Bookman Old Style"/>
        </w:rPr>
        <w:t xml:space="preserve">Relativamente al saldo finale di competenza 2018 restano fermi solo gli obblighi connessi all’invio del monitoraggio e della certificazione, che avranno pertanto solo valore conoscitivo. </w:t>
      </w:r>
      <w:r w:rsidRPr="00833975">
        <w:rPr>
          <w:rFonts w:ascii="Bookman Old Style" w:hAnsi="Bookman Old Style"/>
        </w:rPr>
        <w:t xml:space="preserve">La legge di bilancio esplicita </w:t>
      </w:r>
      <w:r w:rsidRPr="00833975">
        <w:rPr>
          <w:rFonts w:ascii="Bookman Old Style" w:hAnsi="Bookman Old Style"/>
          <w:b/>
        </w:rPr>
        <w:t>l’abbandono delle sanzioni in caso di mancato rispetto del vincolo di pareggio nel 2018</w:t>
      </w:r>
      <w:r w:rsidRPr="00833975">
        <w:rPr>
          <w:rFonts w:ascii="Bookman Old Style" w:hAnsi="Bookman Old Style"/>
        </w:rPr>
        <w:t xml:space="preserve"> ed il mancato utilizzo degli spazi finanziari</w:t>
      </w:r>
      <w:r w:rsidRPr="00833975">
        <w:rPr>
          <w:rFonts w:ascii="Bookman Old Style" w:hAnsi="Bookman Old Style"/>
          <w:bCs/>
        </w:rPr>
        <w:t xml:space="preserve"> acquisiti in corso d’anno</w:t>
      </w:r>
      <w:r w:rsidRPr="00833975">
        <w:rPr>
          <w:rFonts w:ascii="Bookman Old Style" w:hAnsi="Bookman Old Style"/>
        </w:rPr>
        <w:t xml:space="preserve">. Restano </w:t>
      </w:r>
      <w:r w:rsidR="00176BE0" w:rsidRPr="00833975">
        <w:rPr>
          <w:rFonts w:ascii="Bookman Old Style" w:hAnsi="Bookman Old Style"/>
          <w:b/>
        </w:rPr>
        <w:t xml:space="preserve">purtroppo </w:t>
      </w:r>
      <w:r w:rsidRPr="00833975">
        <w:rPr>
          <w:rFonts w:ascii="Bookman Old Style" w:hAnsi="Bookman Old Style"/>
          <w:b/>
        </w:rPr>
        <w:t>in vigore le sanzioni per il mancato rispetto del vincolo di pareggio nell’anno 2017</w:t>
      </w:r>
      <w:r w:rsidRPr="00833975">
        <w:rPr>
          <w:rFonts w:ascii="Bookman Old Style" w:hAnsi="Bookman Old Style"/>
        </w:rPr>
        <w:t>.</w:t>
      </w:r>
    </w:p>
    <w:p w:rsidR="00FD0CA0" w:rsidRDefault="00176BE0" w:rsidP="00BF63E4">
      <w:pPr>
        <w:autoSpaceDE w:val="0"/>
        <w:autoSpaceDN w:val="0"/>
        <w:adjustRightInd w:val="0"/>
        <w:spacing w:after="80"/>
        <w:ind w:firstLine="0"/>
        <w:rPr>
          <w:rFonts w:ascii="Bookman Old Style" w:hAnsi="Bookman Old Style"/>
        </w:rPr>
      </w:pPr>
      <w:r>
        <w:rPr>
          <w:rFonts w:ascii="Bookman Old Style" w:hAnsi="Bookman Old Style"/>
        </w:rPr>
        <w:t xml:space="preserve">La nuova disciplina vale anche per le Regioni a statuto speciale e per le Province autonome, mentre restano </w:t>
      </w:r>
      <w:r w:rsidR="00FD0CA0">
        <w:rPr>
          <w:rFonts w:ascii="Bookman Old Style" w:hAnsi="Bookman Old Style"/>
        </w:rPr>
        <w:t>escluse le Regioni a statuto ordinario, che continueranno ad essere sottoposte al vincolo del saldo finale di competenza fino all’anno 2020</w:t>
      </w:r>
      <w:r w:rsidR="00833975">
        <w:rPr>
          <w:rFonts w:ascii="Bookman Old Style" w:hAnsi="Bookman Old Style"/>
        </w:rPr>
        <w:t xml:space="preserve"> (</w:t>
      </w:r>
      <w:r w:rsidR="00833975" w:rsidRPr="00833975">
        <w:rPr>
          <w:rFonts w:ascii="Bookman Old Style" w:hAnsi="Bookman Old Style"/>
          <w:b/>
        </w:rPr>
        <w:t>co. 824</w:t>
      </w:r>
      <w:r w:rsidR="00833975" w:rsidRPr="00833975">
        <w:rPr>
          <w:rFonts w:ascii="Bookman Old Style" w:hAnsi="Bookman Old Style"/>
        </w:rPr>
        <w:t>)</w:t>
      </w:r>
      <w:r w:rsidR="00FD0CA0">
        <w:rPr>
          <w:rFonts w:ascii="Bookman Old Style" w:hAnsi="Bookman Old Style"/>
        </w:rPr>
        <w:t>.</w:t>
      </w:r>
    </w:p>
    <w:p w:rsidR="00833975" w:rsidRDefault="00833975" w:rsidP="00833975">
      <w:pPr>
        <w:ind w:firstLine="0"/>
        <w:rPr>
          <w:rFonts w:ascii="Bookman Old Style" w:hAnsi="Bookman Old Style"/>
          <w:bCs/>
        </w:rPr>
      </w:pPr>
      <w:r w:rsidRPr="00833975">
        <w:rPr>
          <w:rFonts w:ascii="Bookman Old Style" w:hAnsi="Bookman Old Style"/>
        </w:rPr>
        <w:t xml:space="preserve">Sulla base del nuovo assetto di finanza pubblica, viene abolita anche la norma che riconosceva agli enti colpiti dal sisma Centro Italia del 2016 la possibilità di utilizzare l’avanzo di amministrazione ed il debito </w:t>
      </w:r>
      <w:r w:rsidRPr="00833975">
        <w:rPr>
          <w:rFonts w:ascii="Bookman Old Style" w:hAnsi="Bookman Old Style"/>
          <w:bCs/>
        </w:rPr>
        <w:t>per gli investimenti “connessi alla ricostruzione”. Anche in questo caso rimangono in essere solo gli obblighi connessi alla certificazione degli investimenti realizzati per il biennio 2017-2018 (</w:t>
      </w:r>
      <w:r w:rsidRPr="00833975">
        <w:rPr>
          <w:rFonts w:ascii="Bookman Old Style" w:hAnsi="Bookman Old Style"/>
          <w:b/>
          <w:bCs/>
        </w:rPr>
        <w:t>co. 825</w:t>
      </w:r>
      <w:r w:rsidRPr="00833975">
        <w:rPr>
          <w:rFonts w:ascii="Bookman Old Style" w:hAnsi="Bookman Old Style"/>
          <w:bCs/>
        </w:rPr>
        <w:t>).</w:t>
      </w:r>
    </w:p>
    <w:p w:rsidR="00833975" w:rsidRDefault="00833975" w:rsidP="00833975">
      <w:pPr>
        <w:ind w:firstLine="0"/>
        <w:rPr>
          <w:rFonts w:ascii="Bookman Old Style" w:hAnsi="Bookman Old Style"/>
        </w:rPr>
      </w:pPr>
      <w:r w:rsidRPr="006F30B5">
        <w:rPr>
          <w:rFonts w:ascii="Bookman Old Style" w:hAnsi="Bookman Old Style"/>
        </w:rPr>
        <w:t xml:space="preserve">Il </w:t>
      </w:r>
      <w:r w:rsidRPr="006F30B5">
        <w:rPr>
          <w:rFonts w:ascii="Bookman Old Style" w:hAnsi="Bookman Old Style"/>
          <w:b/>
        </w:rPr>
        <w:t xml:space="preserve">comma 826 </w:t>
      </w:r>
      <w:r w:rsidRPr="006F30B5">
        <w:rPr>
          <w:rFonts w:ascii="Bookman Old Style" w:hAnsi="Bookman Old Style"/>
        </w:rPr>
        <w:t>provvede ad ulteriore copertura degli oneri derivanti dai commi che precedono, attingendo a risorse</w:t>
      </w:r>
      <w:r w:rsidRPr="006F30B5">
        <w:rPr>
          <w:rFonts w:ascii="Bookman Old Style" w:hAnsi="Bookman Old Style"/>
          <w:b/>
        </w:rPr>
        <w:t xml:space="preserve"> </w:t>
      </w:r>
      <w:r w:rsidRPr="006F30B5">
        <w:rPr>
          <w:rFonts w:ascii="Bookman Old Style" w:hAnsi="Bookman Old Style"/>
        </w:rPr>
        <w:t xml:space="preserve">del Fondo per gli investimenti degli enti territoriali, di cui al comma 122. </w:t>
      </w:r>
      <w:r w:rsidR="006F30B5" w:rsidRPr="006F30B5">
        <w:rPr>
          <w:rFonts w:ascii="Bookman Old Style" w:hAnsi="Bookman Old Style"/>
        </w:rPr>
        <w:t xml:space="preserve">Le coperture in questione (tra i 404 mln. di euro nel 2020 a importi annuali oscillanti tra 1,5 e 2 </w:t>
      </w:r>
      <w:proofErr w:type="spellStart"/>
      <w:r w:rsidR="006F30B5" w:rsidRPr="006F30B5">
        <w:rPr>
          <w:rFonts w:ascii="Bookman Old Style" w:hAnsi="Bookman Old Style"/>
        </w:rPr>
        <w:t>mld</w:t>
      </w:r>
      <w:proofErr w:type="spellEnd"/>
      <w:r w:rsidR="006F30B5" w:rsidRPr="006F30B5">
        <w:rPr>
          <w:rFonts w:ascii="Bookman Old Style" w:hAnsi="Bookman Old Style"/>
        </w:rPr>
        <w:t>. di euro negli anni successivi) integrano quelle già disponibili per effetto degli stanziamenti di spazi finanziari (900 mln. per il 2019 e 800 mln. annui dal 2020 al 2023) ora non più necessari e per effetto del parziale blocco del “Bando Periferie” di cui al dl 91/2018.</w:t>
      </w:r>
    </w:p>
    <w:p w:rsidR="00833975" w:rsidRPr="008D4B2E" w:rsidRDefault="00833975" w:rsidP="00BF63E4">
      <w:pPr>
        <w:autoSpaceDE w:val="0"/>
        <w:autoSpaceDN w:val="0"/>
        <w:adjustRightInd w:val="0"/>
        <w:spacing w:after="80"/>
        <w:ind w:firstLine="0"/>
        <w:rPr>
          <w:rFonts w:ascii="Bookman Old Style" w:hAnsi="Bookman Old Style" w:cstheme="minorHAnsi"/>
          <w:color w:val="000000" w:themeColor="text1"/>
        </w:rPr>
      </w:pPr>
    </w:p>
    <w:p w:rsidR="006F30B5" w:rsidRDefault="006F30B5" w:rsidP="006F30B5">
      <w:pPr>
        <w:pStyle w:val="Titolo2"/>
        <w:ind w:firstLine="0"/>
        <w:rPr>
          <w:rFonts w:ascii="Bookman Old Style" w:hAnsi="Bookman Old Style"/>
          <w:b/>
          <w:sz w:val="22"/>
          <w:szCs w:val="22"/>
        </w:rPr>
      </w:pPr>
      <w:bookmarkStart w:id="44" w:name="_Toc533839435"/>
      <w:bookmarkStart w:id="45" w:name="_Toc533979322"/>
      <w:bookmarkStart w:id="46" w:name="_Toc534027978"/>
      <w:r>
        <w:rPr>
          <w:rStyle w:val="Titolo1Carattere"/>
          <w:rFonts w:ascii="Bookman Old Style" w:hAnsi="Bookman Old Style"/>
          <w:b/>
          <w:sz w:val="22"/>
          <w:szCs w:val="22"/>
        </w:rPr>
        <w:t>D</w:t>
      </w:r>
      <w:r w:rsidRPr="00176BE0">
        <w:rPr>
          <w:rStyle w:val="Titolo1Carattere"/>
          <w:rFonts w:ascii="Bookman Old Style" w:hAnsi="Bookman Old Style"/>
          <w:b/>
          <w:sz w:val="22"/>
          <w:szCs w:val="22"/>
        </w:rPr>
        <w:t>isapplicazione sanzioni per mancato rispetto del saldo finale di competenza</w:t>
      </w:r>
      <w:bookmarkEnd w:id="44"/>
      <w:r w:rsidRPr="00176BE0">
        <w:rPr>
          <w:rFonts w:ascii="Bookman Old Style" w:hAnsi="Bookman Old Style"/>
          <w:b/>
          <w:sz w:val="22"/>
          <w:szCs w:val="22"/>
        </w:rPr>
        <w:t xml:space="preserve"> </w:t>
      </w:r>
      <w:r>
        <w:rPr>
          <w:rFonts w:ascii="Bookman Old Style" w:hAnsi="Bookman Old Style"/>
          <w:b/>
          <w:sz w:val="22"/>
          <w:szCs w:val="22"/>
        </w:rPr>
        <w:t>in caso di elezioni comunali 2018</w:t>
      </w:r>
      <w:bookmarkEnd w:id="45"/>
      <w:bookmarkEnd w:id="46"/>
    </w:p>
    <w:p w:rsidR="006F30B5" w:rsidRPr="006F30B5" w:rsidRDefault="006F30B5" w:rsidP="006F30B5">
      <w:pPr>
        <w:spacing w:after="200" w:line="276" w:lineRule="auto"/>
        <w:ind w:firstLine="0"/>
        <w:rPr>
          <w:rFonts w:ascii="Bookman Old Style" w:hAnsi="Bookman Old Style"/>
        </w:rPr>
      </w:pPr>
      <w:r>
        <w:rPr>
          <w:rFonts w:ascii="Bookman Old Style" w:hAnsi="Bookman Old Style"/>
        </w:rPr>
        <w:t xml:space="preserve">Il </w:t>
      </w:r>
      <w:r w:rsidRPr="004D4D99">
        <w:rPr>
          <w:rFonts w:ascii="Bookman Old Style" w:hAnsi="Bookman Old Style"/>
          <w:b/>
        </w:rPr>
        <w:t>comma 827</w:t>
      </w:r>
      <w:r>
        <w:rPr>
          <w:rFonts w:ascii="Bookman Old Style" w:hAnsi="Bookman Old Style"/>
        </w:rPr>
        <w:t xml:space="preserve"> dispone la disapplicazione della </w:t>
      </w:r>
      <w:r w:rsidRPr="006F30B5">
        <w:rPr>
          <w:rFonts w:ascii="Bookman Old Style" w:hAnsi="Bookman Old Style"/>
        </w:rPr>
        <w:t xml:space="preserve">sanzione </w:t>
      </w:r>
      <w:r>
        <w:rPr>
          <w:rFonts w:ascii="Bookman Old Style" w:hAnsi="Bookman Old Style"/>
        </w:rPr>
        <w:t xml:space="preserve">per mancato rispetto del saldo di competenza 2017, </w:t>
      </w:r>
      <w:r w:rsidRPr="006F30B5">
        <w:rPr>
          <w:rFonts w:ascii="Bookman Old Style" w:hAnsi="Bookman Old Style"/>
        </w:rPr>
        <w:t xml:space="preserve">relativa al divieto di assunzione di personale, a qualsiasi titolo e con qualsivoglia tipologia contrattuale (compresi i processi di stabilizzazione in atto) </w:t>
      </w:r>
      <w:r>
        <w:rPr>
          <w:rFonts w:ascii="Bookman Old Style" w:hAnsi="Bookman Old Style"/>
        </w:rPr>
        <w:t xml:space="preserve">ai Comuni che </w:t>
      </w:r>
      <w:r w:rsidRPr="006F30B5">
        <w:rPr>
          <w:rFonts w:ascii="Bookman Old Style" w:hAnsi="Bookman Old Style"/>
        </w:rPr>
        <w:t xml:space="preserve">abbiano rinnovato i propri organismi </w:t>
      </w:r>
      <w:r>
        <w:rPr>
          <w:rFonts w:ascii="Bookman Old Style" w:hAnsi="Bookman Old Style"/>
        </w:rPr>
        <w:t xml:space="preserve">con le elezioni del giugno </w:t>
      </w:r>
      <w:r w:rsidRPr="006F30B5">
        <w:rPr>
          <w:rFonts w:ascii="Bookman Old Style" w:hAnsi="Bookman Old Style"/>
        </w:rPr>
        <w:t>2018;</w:t>
      </w:r>
    </w:p>
    <w:p w:rsidR="006F30B5" w:rsidRPr="006F30B5" w:rsidRDefault="006F30B5" w:rsidP="006F30B5"/>
    <w:p w:rsidR="00FD0CA0" w:rsidRPr="00320869" w:rsidRDefault="00176BE0" w:rsidP="00176BE0">
      <w:pPr>
        <w:pStyle w:val="Titolo2"/>
        <w:ind w:firstLine="0"/>
      </w:pPr>
      <w:bookmarkStart w:id="47" w:name="_Toc533758178"/>
      <w:bookmarkStart w:id="48" w:name="_Toc533979323"/>
      <w:bookmarkStart w:id="49" w:name="_Toc534027979"/>
      <w:r>
        <w:rPr>
          <w:rStyle w:val="Titolo1Carattere"/>
          <w:rFonts w:ascii="Bookman Old Style" w:hAnsi="Bookman Old Style"/>
          <w:b/>
          <w:sz w:val="22"/>
          <w:szCs w:val="22"/>
        </w:rPr>
        <w:t>A</w:t>
      </w:r>
      <w:r w:rsidRPr="00176BE0">
        <w:rPr>
          <w:rStyle w:val="Titolo1Carattere"/>
          <w:rFonts w:ascii="Bookman Old Style" w:hAnsi="Bookman Old Style"/>
          <w:b/>
          <w:sz w:val="22"/>
          <w:szCs w:val="22"/>
        </w:rPr>
        <w:t>brogato obbligo del bilancio consolidato per i piccoli comuni</w:t>
      </w:r>
      <w:bookmarkEnd w:id="47"/>
      <w:bookmarkEnd w:id="48"/>
      <w:bookmarkEnd w:id="49"/>
    </w:p>
    <w:p w:rsidR="00FD0CA0" w:rsidRPr="00DB5A23" w:rsidRDefault="00176BE0" w:rsidP="00176BE0">
      <w:pPr>
        <w:ind w:firstLine="0"/>
        <w:rPr>
          <w:rFonts w:ascii="Bookman Old Style" w:hAnsi="Bookman Old Style"/>
        </w:rPr>
      </w:pPr>
      <w:r>
        <w:rPr>
          <w:rFonts w:ascii="Bookman Old Style" w:hAnsi="Bookman Old Style"/>
        </w:rPr>
        <w:t xml:space="preserve">Il </w:t>
      </w:r>
      <w:r w:rsidRPr="00176BE0">
        <w:rPr>
          <w:rFonts w:ascii="Bookman Old Style" w:hAnsi="Bookman Old Style"/>
          <w:b/>
        </w:rPr>
        <w:t>comma 831</w:t>
      </w:r>
      <w:r>
        <w:rPr>
          <w:rFonts w:ascii="Bookman Old Style" w:hAnsi="Bookman Old Style"/>
        </w:rPr>
        <w:t xml:space="preserve"> abolisce </w:t>
      </w:r>
      <w:r w:rsidR="00FD0CA0" w:rsidRPr="00DB5A23">
        <w:rPr>
          <w:rFonts w:ascii="Bookman Old Style" w:hAnsi="Bookman Old Style"/>
        </w:rPr>
        <w:t xml:space="preserve">l’obbligo di redazione del bilancio consolidato </w:t>
      </w:r>
      <w:r w:rsidR="00FD0CA0">
        <w:rPr>
          <w:rFonts w:ascii="Bookman Old Style" w:hAnsi="Bookman Old Style"/>
        </w:rPr>
        <w:t>a carico de</w:t>
      </w:r>
      <w:r w:rsidR="00FD0CA0" w:rsidRPr="00DB5A23">
        <w:rPr>
          <w:rFonts w:ascii="Bookman Old Style" w:hAnsi="Bookman Old Style"/>
        </w:rPr>
        <w:t>i Comuni fino a 5000 abitanti</w:t>
      </w:r>
      <w:r>
        <w:rPr>
          <w:rFonts w:ascii="Bookman Old Style" w:hAnsi="Bookman Old Style"/>
        </w:rPr>
        <w:t xml:space="preserve">, in parziale accoglimento </w:t>
      </w:r>
      <w:r w:rsidR="00FD0CA0" w:rsidRPr="00DB5A23">
        <w:rPr>
          <w:rFonts w:ascii="Bookman Old Style" w:hAnsi="Bookman Old Style"/>
        </w:rPr>
        <w:t xml:space="preserve">di una </w:t>
      </w:r>
      <w:r w:rsidR="00FD0CA0" w:rsidRPr="00176BE0">
        <w:rPr>
          <w:rFonts w:ascii="Bookman Old Style" w:hAnsi="Bookman Old Style"/>
        </w:rPr>
        <w:t xml:space="preserve">proposta emendativa dell’ANCI </w:t>
      </w:r>
      <w:r>
        <w:rPr>
          <w:rFonts w:ascii="Bookman Old Style" w:hAnsi="Bookman Old Style"/>
        </w:rPr>
        <w:t xml:space="preserve">che comprendeva un più ampio </w:t>
      </w:r>
      <w:r w:rsidR="00FD0CA0" w:rsidRPr="00DB5A23">
        <w:rPr>
          <w:rFonts w:ascii="Bookman Old Style" w:hAnsi="Bookman Old Style"/>
        </w:rPr>
        <w:t xml:space="preserve">pacchetto di misure di semplificazioni contabili per i </w:t>
      </w:r>
      <w:r>
        <w:rPr>
          <w:rFonts w:ascii="Bookman Old Style" w:hAnsi="Bookman Old Style"/>
        </w:rPr>
        <w:t>p</w:t>
      </w:r>
      <w:r w:rsidR="00FD0CA0" w:rsidRPr="00DB5A23">
        <w:rPr>
          <w:rFonts w:ascii="Bookman Old Style" w:hAnsi="Bookman Old Style"/>
        </w:rPr>
        <w:t>iccoli Comuni</w:t>
      </w:r>
      <w:r>
        <w:rPr>
          <w:rFonts w:ascii="Bookman Old Style" w:hAnsi="Bookman Old Style"/>
        </w:rPr>
        <w:t xml:space="preserve">, </w:t>
      </w:r>
      <w:r w:rsidR="00FD0CA0" w:rsidRPr="00DB5A23">
        <w:rPr>
          <w:rFonts w:ascii="Bookman Old Style" w:hAnsi="Bookman Old Style"/>
        </w:rPr>
        <w:t xml:space="preserve">che non risultano invece approvate. Ci si riferisce in particolare all’abrogazione dell’obbligo di tenuta della contabilità economico-patrimoniale il cui impianto e i cui adempimenti appaiono – per enti di così piccole dimensioni – eccessivi e del tutto irragionevoli rispetto agli obiettivi di conoscenza fissati dalle norme.  In tali Enti infatti, la contabilità finanziaria risulta già ampiamente idonea a gestire l’attività di bilancio e a fornire le indicazioni affidabili sulle effettive condizioni economico-patrimoniali. </w:t>
      </w:r>
    </w:p>
    <w:p w:rsidR="00FD0CA0" w:rsidRDefault="00FD0CA0" w:rsidP="00FD0CA0">
      <w:pPr>
        <w:pStyle w:val="Paragrafoelenco"/>
        <w:rPr>
          <w:rFonts w:ascii="Bookman Old Style" w:hAnsi="Bookman Old Style"/>
        </w:rPr>
      </w:pPr>
    </w:p>
    <w:p w:rsidR="00FD0CA0" w:rsidRPr="00E307B2" w:rsidRDefault="00E307B2" w:rsidP="00E307B2">
      <w:pPr>
        <w:pStyle w:val="Titolo2"/>
        <w:ind w:firstLine="0"/>
        <w:rPr>
          <w:rStyle w:val="Titolo1Carattere"/>
          <w:rFonts w:ascii="Bookman Old Style" w:hAnsi="Bookman Old Style"/>
          <w:sz w:val="22"/>
          <w:szCs w:val="22"/>
        </w:rPr>
      </w:pPr>
      <w:bookmarkStart w:id="50" w:name="_Toc533839437"/>
      <w:bookmarkStart w:id="51" w:name="_Toc533979324"/>
      <w:bookmarkStart w:id="52" w:name="_Toc534027980"/>
      <w:r>
        <w:rPr>
          <w:rStyle w:val="Titolo1Carattere"/>
          <w:rFonts w:ascii="Bookman Old Style" w:hAnsi="Bookman Old Style"/>
          <w:b/>
          <w:sz w:val="22"/>
          <w:szCs w:val="22"/>
        </w:rPr>
        <w:t>U</w:t>
      </w:r>
      <w:r w:rsidRPr="00E307B2">
        <w:rPr>
          <w:rStyle w:val="Titolo1Carattere"/>
          <w:rFonts w:ascii="Bookman Old Style" w:hAnsi="Bookman Old Style"/>
          <w:b/>
          <w:sz w:val="22"/>
          <w:szCs w:val="22"/>
        </w:rPr>
        <w:t>tilizzo del risultato di amministrazione per gli enti in disavanzo</w:t>
      </w:r>
      <w:bookmarkEnd w:id="50"/>
      <w:bookmarkEnd w:id="51"/>
      <w:bookmarkEnd w:id="52"/>
    </w:p>
    <w:p w:rsidR="00E307B2" w:rsidRDefault="00E307B2" w:rsidP="00E307B2">
      <w:pPr>
        <w:ind w:firstLine="0"/>
        <w:rPr>
          <w:rFonts w:ascii="Bookman Old Style" w:hAnsi="Bookman Old Style"/>
        </w:rPr>
      </w:pPr>
      <w:r>
        <w:rPr>
          <w:rFonts w:ascii="Bookman Old Style" w:hAnsi="Bookman Old Style"/>
        </w:rPr>
        <w:t xml:space="preserve">I </w:t>
      </w:r>
      <w:r w:rsidR="00FD0CA0" w:rsidRPr="00E307B2">
        <w:rPr>
          <w:rFonts w:ascii="Bookman Old Style" w:hAnsi="Bookman Old Style"/>
          <w:b/>
        </w:rPr>
        <w:t>commi</w:t>
      </w:r>
      <w:r w:rsidR="00FD0CA0" w:rsidRPr="008307EB">
        <w:rPr>
          <w:rFonts w:ascii="Bookman Old Style" w:hAnsi="Bookman Old Style"/>
        </w:rPr>
        <w:t xml:space="preserve"> </w:t>
      </w:r>
      <w:r w:rsidR="00FD0CA0" w:rsidRPr="00E307B2">
        <w:rPr>
          <w:rFonts w:ascii="Bookman Old Style" w:hAnsi="Bookman Old Style"/>
          <w:b/>
        </w:rPr>
        <w:t>897-900</w:t>
      </w:r>
      <w:r w:rsidR="00FD0CA0" w:rsidRPr="008307EB">
        <w:rPr>
          <w:rFonts w:ascii="Bookman Old Style" w:hAnsi="Bookman Old Style"/>
        </w:rPr>
        <w:t xml:space="preserve"> disciplina</w:t>
      </w:r>
      <w:r>
        <w:rPr>
          <w:rFonts w:ascii="Bookman Old Style" w:hAnsi="Bookman Old Style"/>
        </w:rPr>
        <w:t>no</w:t>
      </w:r>
      <w:r w:rsidR="00FD0CA0" w:rsidRPr="008307EB">
        <w:rPr>
          <w:rFonts w:ascii="Bookman Old Style" w:hAnsi="Bookman Old Style"/>
        </w:rPr>
        <w:t xml:space="preserve"> l</w:t>
      </w:r>
      <w:r>
        <w:rPr>
          <w:rFonts w:ascii="Bookman Old Style" w:hAnsi="Bookman Old Style"/>
        </w:rPr>
        <w:t xml:space="preserve">’utilizzo degli avanzi vincolati anche </w:t>
      </w:r>
      <w:r w:rsidR="00FD0CA0" w:rsidRPr="008307EB">
        <w:rPr>
          <w:rFonts w:ascii="Bookman Old Style" w:hAnsi="Bookman Old Style"/>
        </w:rPr>
        <w:t>per gli enti che si trovano in una condizione di disavanzo complessivo</w:t>
      </w:r>
      <w:r w:rsidR="00FD0CA0">
        <w:rPr>
          <w:rFonts w:ascii="Bookman Old Style" w:hAnsi="Bookman Old Style"/>
          <w:bCs/>
        </w:rPr>
        <w:t>, recependo</w:t>
      </w:r>
      <w:r>
        <w:rPr>
          <w:rFonts w:ascii="Bookman Old Style" w:hAnsi="Bookman Old Style"/>
          <w:bCs/>
        </w:rPr>
        <w:t xml:space="preserve"> – purtroppo solo </w:t>
      </w:r>
      <w:r w:rsidR="00FD0CA0">
        <w:rPr>
          <w:rFonts w:ascii="Bookman Old Style" w:hAnsi="Bookman Old Style"/>
          <w:bCs/>
        </w:rPr>
        <w:t xml:space="preserve">in </w:t>
      </w:r>
      <w:r>
        <w:rPr>
          <w:rFonts w:ascii="Bookman Old Style" w:hAnsi="Bookman Old Style"/>
          <w:bCs/>
        </w:rPr>
        <w:t xml:space="preserve">piccola </w:t>
      </w:r>
      <w:r w:rsidR="00FD0CA0">
        <w:rPr>
          <w:rFonts w:ascii="Bookman Old Style" w:hAnsi="Bookman Old Style"/>
          <w:bCs/>
        </w:rPr>
        <w:t>parte</w:t>
      </w:r>
      <w:r>
        <w:rPr>
          <w:rFonts w:ascii="Bookman Old Style" w:hAnsi="Bookman Old Style"/>
          <w:bCs/>
        </w:rPr>
        <w:t xml:space="preserve"> – </w:t>
      </w:r>
      <w:r w:rsidR="00FD0CA0">
        <w:rPr>
          <w:rFonts w:ascii="Bookman Old Style" w:hAnsi="Bookman Old Style"/>
          <w:bCs/>
        </w:rPr>
        <w:t xml:space="preserve">le istanze avanzate da Anci in sede di Commissione </w:t>
      </w:r>
      <w:proofErr w:type="spellStart"/>
      <w:r w:rsidR="00FD0CA0">
        <w:rPr>
          <w:rFonts w:ascii="Bookman Old Style" w:hAnsi="Bookman Old Style"/>
          <w:bCs/>
        </w:rPr>
        <w:t>Arconet</w:t>
      </w:r>
      <w:proofErr w:type="spellEnd"/>
      <w:r w:rsidR="00FD0CA0" w:rsidRPr="008307EB">
        <w:rPr>
          <w:rFonts w:ascii="Bookman Old Style" w:hAnsi="Bookman Old Style"/>
        </w:rPr>
        <w:t xml:space="preserve">. Su tale problematica alcune sezioni regionali di controllo della Corte dei Conti erano già intervenute con interpretazioni molto restrittive, che imponevano all’ente in disavanzo complessivo l’obbligo di finanziare l’utilizzo dei vincoli con nuove risorse (n. 238/2017 SR Campania, SR Piemonte n. 134/2017). Queste posizioni mettevano in discussione la copertura fornita a specifiche tipologie di spesa dall’avanzo vincolato, ritenendo quest’ultimo insussistente quando l’ente si trova in una situazione caratterizzata da disavanzo di amministrazione, mettendo a rischio impegni presi dall’ente che potrebbero risultare disattesi. </w:t>
      </w:r>
    </w:p>
    <w:p w:rsidR="00FD0CA0" w:rsidRDefault="00FD0CA0" w:rsidP="00E307B2">
      <w:pPr>
        <w:ind w:firstLine="0"/>
        <w:rPr>
          <w:rFonts w:ascii="Bookman Old Style" w:hAnsi="Bookman Old Style"/>
        </w:rPr>
      </w:pPr>
      <w:r w:rsidRPr="008307EB">
        <w:rPr>
          <w:rFonts w:ascii="Bookman Old Style" w:hAnsi="Bookman Old Style"/>
        </w:rPr>
        <w:t>La legge di bilancio 2019</w:t>
      </w:r>
      <w:r w:rsidR="00E307B2">
        <w:rPr>
          <w:rFonts w:ascii="Bookman Old Style" w:hAnsi="Bookman Old Style"/>
        </w:rPr>
        <w:t xml:space="preserve"> dà </w:t>
      </w:r>
      <w:r w:rsidRPr="008307EB">
        <w:rPr>
          <w:rFonts w:ascii="Bookman Old Style" w:hAnsi="Bookman Old Style"/>
        </w:rPr>
        <w:t xml:space="preserve">parziale risposta alla questione, prevedendo che tutti gli enti sottoposti alle regole dell’armonizzazione contabile (quindi sia quelli in avanzo che in disavanzo) possono applicare al bilancio di previsione </w:t>
      </w:r>
      <w:r w:rsidRPr="002606E4">
        <w:rPr>
          <w:rFonts w:ascii="Bookman Old Style" w:hAnsi="Bookman Old Style"/>
          <w:b/>
          <w:bCs/>
        </w:rPr>
        <w:t>la quota vincolata, accantonata e destinata del risultato di amministrazione per un importo non superiore a quello derivante dal risultato di amministrazione al 31 dicembre dell’anno precedente (risultante alla lettera A)</w:t>
      </w:r>
      <w:r w:rsidRPr="00031FFC">
        <w:rPr>
          <w:rFonts w:ascii="Bookman Old Style" w:hAnsi="Bookman Old Style"/>
          <w:bCs/>
        </w:rPr>
        <w:t xml:space="preserve"> del prospetto dimostrativo del risultato di amministrazione dell’allegato 10 al decreto legislativo n. 118 del 2011) </w:t>
      </w:r>
      <w:r w:rsidRPr="002606E4">
        <w:rPr>
          <w:rFonts w:ascii="Bookman Old Style" w:hAnsi="Bookman Old Style"/>
          <w:b/>
          <w:bCs/>
        </w:rPr>
        <w:t>diminuito della quota accantonata minima obbligatoria del fondo crediti di dubbia esigibilità e del fondo anticipazioni di liquidità, incrementato dell'importo del disavanzo da recuperare iscritto nel primo esercizio del bilancio di previsione.</w:t>
      </w:r>
      <w:r w:rsidRPr="00031FFC">
        <w:rPr>
          <w:rFonts w:ascii="Bookman Old Style" w:hAnsi="Bookman Old Style"/>
          <w:bCs/>
        </w:rPr>
        <w:t xml:space="preserve"> </w:t>
      </w:r>
      <w:r>
        <w:rPr>
          <w:rFonts w:ascii="Bookman Old Style" w:hAnsi="Bookman Old Style"/>
          <w:bCs/>
        </w:rPr>
        <w:t xml:space="preserve">Nelle more </w:t>
      </w:r>
      <w:r w:rsidRPr="004848BC">
        <w:rPr>
          <w:rFonts w:ascii="Bookman Old Style" w:hAnsi="Bookman Old Style"/>
          <w:bCs/>
        </w:rPr>
        <w:t>dell'approvazione del rendiconto dell'esercizio precedente, si fa riferimento al prospetto riguardante il risultato di amministrazione presunto allegato al bilancio di previsione</w:t>
      </w:r>
      <w:r>
        <w:rPr>
          <w:rFonts w:ascii="Bookman Old Style" w:hAnsi="Bookman Old Style"/>
          <w:bCs/>
        </w:rPr>
        <w:t xml:space="preserve">. </w:t>
      </w:r>
      <w:r w:rsidRPr="004848BC">
        <w:rPr>
          <w:rFonts w:ascii="Bookman Old Style" w:hAnsi="Bookman Old Style"/>
          <w:bCs/>
        </w:rPr>
        <w:t>In caso di esercizio provvisorio, si fa riferimento al prospetto di verifica del risultato di amministrazione effettuata sulla base dei dati di preconsuntivo</w:t>
      </w:r>
      <w:r>
        <w:rPr>
          <w:rFonts w:ascii="Bookman Old Style" w:hAnsi="Bookman Old Style"/>
          <w:bCs/>
        </w:rPr>
        <w:t>.</w:t>
      </w:r>
      <w:r>
        <w:rPr>
          <w:rFonts w:ascii="Bookman Old Style" w:hAnsi="Bookman Old Style"/>
        </w:rPr>
        <w:t xml:space="preserve"> Gli enti che non approvano nei termini il proprio rendiconto non possono utilizzare la facoltà prevista dalla norma fino all’avvenuta approvazione di tale documento contabile. </w:t>
      </w:r>
    </w:p>
    <w:p w:rsidR="00FD0CA0" w:rsidRDefault="00FD0CA0" w:rsidP="008B36A5">
      <w:pPr>
        <w:ind w:firstLine="0"/>
        <w:rPr>
          <w:rFonts w:ascii="Bookman Old Style" w:hAnsi="Bookman Old Style"/>
        </w:rPr>
      </w:pPr>
      <w:r>
        <w:rPr>
          <w:rFonts w:ascii="Bookman Old Style" w:hAnsi="Bookman Old Style"/>
        </w:rPr>
        <w:t xml:space="preserve">Nel caso in cui, invece, </w:t>
      </w:r>
      <w:r w:rsidRPr="008B36A5">
        <w:rPr>
          <w:rFonts w:ascii="Bookman Old Style" w:hAnsi="Bookman Old Style"/>
          <w:b/>
        </w:rPr>
        <w:t>il risultato di amministrazione di cui alla lettera A) del prospetto dimostrativo sia negativo</w:t>
      </w:r>
      <w:r>
        <w:rPr>
          <w:rFonts w:ascii="Bookman Old Style" w:hAnsi="Bookman Old Style"/>
        </w:rPr>
        <w:t xml:space="preserve"> o inferiore alla somma della quota minima accantonata del FCDE e del fondo anticipazioni liquidità (FAL) </w:t>
      </w:r>
      <w:r w:rsidRPr="008B36A5">
        <w:rPr>
          <w:rFonts w:ascii="Bookman Old Style" w:hAnsi="Bookman Old Style"/>
          <w:b/>
        </w:rPr>
        <w:t>gli enti posso applicare al bilancio di previsione un importo dell’avanzo vincolato</w:t>
      </w:r>
      <w:r>
        <w:rPr>
          <w:rFonts w:ascii="Bookman Old Style" w:hAnsi="Bookman Old Style"/>
        </w:rPr>
        <w:t xml:space="preserve">, accantonato e destinato </w:t>
      </w:r>
      <w:r w:rsidRPr="008B36A5">
        <w:rPr>
          <w:rFonts w:ascii="Bookman Old Style" w:hAnsi="Bookman Old Style"/>
          <w:b/>
        </w:rPr>
        <w:t>non superiore all’ammontare del disavanzo da recuperare iscritto nel primo esercizio del bilancio di previsione</w:t>
      </w:r>
      <w:r>
        <w:rPr>
          <w:rFonts w:ascii="Bookman Old Style" w:hAnsi="Bookman Old Style"/>
        </w:rPr>
        <w:t xml:space="preserve">. </w:t>
      </w:r>
    </w:p>
    <w:p w:rsidR="00FD0CA0" w:rsidRPr="005132B6" w:rsidRDefault="00FD0CA0" w:rsidP="008B36A5">
      <w:pPr>
        <w:ind w:firstLine="0"/>
        <w:rPr>
          <w:rFonts w:ascii="Bookman Old Style" w:hAnsi="Bookman Old Style"/>
          <w:b/>
          <w:i/>
        </w:rPr>
      </w:pPr>
      <w:r w:rsidRPr="0094513B">
        <w:rPr>
          <w:rFonts w:ascii="Bookman Old Style" w:hAnsi="Bookman Old Style"/>
        </w:rPr>
        <w:t xml:space="preserve">Nel corso dell’esame parlamentare di conversione della legge di bilancio 2019, Anci ha proposto una modifica, </w:t>
      </w:r>
      <w:r>
        <w:rPr>
          <w:rFonts w:ascii="Bookman Old Style" w:hAnsi="Bookman Old Style"/>
        </w:rPr>
        <w:t xml:space="preserve">non accolta, </w:t>
      </w:r>
      <w:r w:rsidRPr="0094513B">
        <w:rPr>
          <w:rFonts w:ascii="Bookman Old Style" w:hAnsi="Bookman Old Style"/>
        </w:rPr>
        <w:t xml:space="preserve"> a tale impianto normativo</w:t>
      </w:r>
      <w:r>
        <w:rPr>
          <w:rFonts w:ascii="Bookman Old Style" w:hAnsi="Bookman Old Style"/>
        </w:rPr>
        <w:t xml:space="preserve">, </w:t>
      </w:r>
      <w:r w:rsidRPr="0094513B">
        <w:rPr>
          <w:rFonts w:ascii="Bookman Old Style" w:hAnsi="Bookman Old Style"/>
        </w:rPr>
        <w:t xml:space="preserve">al fine di consentire agli enti che si trovano in una condizione di disavanzo complessivo </w:t>
      </w:r>
      <w:r>
        <w:rPr>
          <w:rFonts w:ascii="Bookman Old Style" w:hAnsi="Bookman Old Style"/>
        </w:rPr>
        <w:t>la possibilità di</w:t>
      </w:r>
      <w:r w:rsidRPr="0094513B">
        <w:rPr>
          <w:rFonts w:ascii="Bookman Old Style" w:hAnsi="Bookman Old Style"/>
        </w:rPr>
        <w:t xml:space="preserve"> poter utilizzare l’avanzo di amministrazione vincolato (ad esclusione delle quote il cui vincolo è stabilito autonomamente dall’ente) o comunque di utilizzare l’avanzo vincolato limitatamente non al solo  “disavanzo da recuperare iscritto nel primo esercizio del bilancio di previsione”, ma anche all’eventuale maggior recupero realizzato nell’esercizio precedente.</w:t>
      </w:r>
      <w:r>
        <w:rPr>
          <w:rFonts w:ascii="Bookman Old Style" w:hAnsi="Bookman Old Style"/>
        </w:rPr>
        <w:t xml:space="preserve"> </w:t>
      </w:r>
      <w:r w:rsidRPr="005132B6">
        <w:rPr>
          <w:rFonts w:ascii="Bookman Old Style" w:hAnsi="Bookman Old Style"/>
          <w:b/>
          <w:i/>
        </w:rPr>
        <w:t xml:space="preserve">Il mancato sblocco dell’avanzo vincolato per l’ente che si trovi in una condizione di disavanzo complessivo mette in grave difficoltà alcune centinaia di enti, che si vedono “congelare” totalmente risorse in parte già disponibili in quanto accantonate nel proprio bilancio, con gravi limitazioni nell’azione di rilancio degli investimenti. </w:t>
      </w:r>
    </w:p>
    <w:p w:rsidR="00FD0CA0" w:rsidRDefault="00FD0CA0" w:rsidP="008B36A5">
      <w:pPr>
        <w:ind w:firstLine="0"/>
        <w:rPr>
          <w:rFonts w:ascii="Bookman Old Style" w:hAnsi="Bookman Old Style"/>
        </w:rPr>
      </w:pPr>
      <w:r>
        <w:rPr>
          <w:rFonts w:ascii="Bookman Old Style" w:hAnsi="Bookman Old Style"/>
        </w:rPr>
        <w:t xml:space="preserve">Le regioni a statuto ordinario possono accantonare le quote accantonate e vincolate del risultato di amministrazione secondo le modalità individuate per gli enti locali, ma senza dover tenere in considerazione la quota accantonata del fondo anticipazioni liquidità (FAL). </w:t>
      </w:r>
    </w:p>
    <w:p w:rsidR="00FD0CA0" w:rsidRDefault="00FD0CA0" w:rsidP="008B36A5">
      <w:pPr>
        <w:ind w:firstLine="0"/>
        <w:rPr>
          <w:rFonts w:ascii="Bookman Old Style" w:hAnsi="Bookman Old Style"/>
        </w:rPr>
      </w:pPr>
      <w:r>
        <w:rPr>
          <w:rFonts w:ascii="Bookman Old Style" w:hAnsi="Bookman Old Style"/>
        </w:rPr>
        <w:t xml:space="preserve">Le regioni e le province autonome nelle quali la Giunta approva in ritardo il rendiconto per consentire la parifica delle sezioni regionali di controllo della Corte dei conti non possono applicare l’avanzo secondo le modalità stabilite dalla norma al comma 897 fino all’avvenuta approvazione del documento contabile. </w:t>
      </w:r>
    </w:p>
    <w:p w:rsidR="00FD0CA0" w:rsidRDefault="00FD0CA0" w:rsidP="00FD0CA0">
      <w:pPr>
        <w:rPr>
          <w:rFonts w:ascii="Bookman Old Style" w:hAnsi="Bookman Old Style"/>
        </w:rPr>
      </w:pPr>
    </w:p>
    <w:p w:rsidR="00FD0CA0" w:rsidRPr="00E82A65" w:rsidRDefault="00E82A65" w:rsidP="00E82A65">
      <w:pPr>
        <w:pStyle w:val="Titolo2"/>
        <w:ind w:firstLine="0"/>
        <w:rPr>
          <w:rFonts w:ascii="Bookman Old Style" w:hAnsi="Bookman Old Style"/>
          <w:b/>
          <w:sz w:val="22"/>
          <w:szCs w:val="22"/>
        </w:rPr>
      </w:pPr>
      <w:bookmarkStart w:id="53" w:name="_Toc533839440"/>
      <w:bookmarkStart w:id="54" w:name="_Toc533979325"/>
      <w:bookmarkStart w:id="55" w:name="_Toc534027981"/>
      <w:r w:rsidRPr="00E82A65">
        <w:rPr>
          <w:rStyle w:val="Titolo1Carattere"/>
          <w:rFonts w:ascii="Bookman Old Style" w:hAnsi="Bookman Old Style"/>
          <w:b/>
          <w:sz w:val="22"/>
          <w:szCs w:val="22"/>
        </w:rPr>
        <w:t>Semplificazione adempimenti contabili</w:t>
      </w:r>
      <w:bookmarkEnd w:id="53"/>
      <w:bookmarkEnd w:id="54"/>
      <w:bookmarkEnd w:id="55"/>
    </w:p>
    <w:p w:rsidR="00F27396" w:rsidRDefault="00FD0CA0" w:rsidP="0043027E">
      <w:pPr>
        <w:spacing w:after="80"/>
        <w:ind w:firstLine="0"/>
        <w:rPr>
          <w:rFonts w:ascii="Bookman Old Style" w:hAnsi="Bookman Old Style"/>
        </w:rPr>
      </w:pPr>
      <w:r>
        <w:rPr>
          <w:rFonts w:ascii="Bookman Old Style" w:hAnsi="Bookman Old Style"/>
        </w:rPr>
        <w:t xml:space="preserve">I </w:t>
      </w:r>
      <w:r w:rsidRPr="0043027E">
        <w:rPr>
          <w:rFonts w:ascii="Bookman Old Style" w:hAnsi="Bookman Old Style"/>
          <w:b/>
        </w:rPr>
        <w:t>commi 902-90</w:t>
      </w:r>
      <w:r w:rsidR="00097069">
        <w:rPr>
          <w:rFonts w:ascii="Bookman Old Style" w:hAnsi="Bookman Old Style"/>
          <w:b/>
        </w:rPr>
        <w:t>4</w:t>
      </w:r>
      <w:r>
        <w:rPr>
          <w:rFonts w:ascii="Bookman Old Style" w:hAnsi="Bookman Old Style"/>
        </w:rPr>
        <w:t xml:space="preserve"> introducono alcune semplificazioni contabili a carico degli enti locali, in più occasioni segnalate da Anci</w:t>
      </w:r>
      <w:r w:rsidR="0043027E">
        <w:rPr>
          <w:rFonts w:ascii="Bookman Old Style" w:hAnsi="Bookman Old Style"/>
        </w:rPr>
        <w:t xml:space="preserve">. </w:t>
      </w:r>
    </w:p>
    <w:p w:rsidR="00FD0CA0" w:rsidRDefault="0043027E" w:rsidP="0043027E">
      <w:pPr>
        <w:spacing w:after="80"/>
        <w:ind w:firstLine="0"/>
        <w:rPr>
          <w:rFonts w:ascii="Bookman Old Style" w:hAnsi="Bookman Old Style"/>
        </w:rPr>
      </w:pPr>
      <w:r>
        <w:rPr>
          <w:rFonts w:ascii="Bookman Old Style" w:hAnsi="Bookman Old Style"/>
        </w:rPr>
        <w:t xml:space="preserve">Il </w:t>
      </w:r>
      <w:r w:rsidRPr="0043027E">
        <w:rPr>
          <w:rFonts w:ascii="Bookman Old Style" w:hAnsi="Bookman Old Style"/>
          <w:b/>
        </w:rPr>
        <w:t>comma 902</w:t>
      </w:r>
      <w:r>
        <w:rPr>
          <w:rFonts w:ascii="Bookman Old Style" w:hAnsi="Bookman Old Style"/>
        </w:rPr>
        <w:t xml:space="preserve"> </w:t>
      </w:r>
      <w:r w:rsidR="00FD0CA0">
        <w:rPr>
          <w:rFonts w:ascii="Bookman Old Style" w:hAnsi="Bookman Old Style"/>
        </w:rPr>
        <w:t>abroga</w:t>
      </w:r>
      <w:r>
        <w:rPr>
          <w:rFonts w:ascii="Bookman Old Style" w:hAnsi="Bookman Old Style"/>
        </w:rPr>
        <w:t xml:space="preserve"> </w:t>
      </w:r>
      <w:r w:rsidR="00FD0CA0">
        <w:rPr>
          <w:rFonts w:ascii="Bookman Old Style" w:hAnsi="Bookman Old Style"/>
        </w:rPr>
        <w:t xml:space="preserve">dal 2019 i certificati del bilancio di previsione e del rendiconto della gestione da inviare al Ministero degli interni, dal momento che l’invio del bilancio di previsione e del rendiconto di gestione alla BDAP esauriscono gli obblighi conoscitivi in materia contabile posti a carico degli enti locali. Solo nel caso in cui vi fosse la necessità di avere ulteriori informazioni contabili, non già presenti in BDAP, </w:t>
      </w:r>
      <w:r w:rsidR="00097069">
        <w:rPr>
          <w:rFonts w:ascii="Bookman Old Style" w:hAnsi="Bookman Old Style"/>
        </w:rPr>
        <w:t xml:space="preserve">il </w:t>
      </w:r>
      <w:r w:rsidR="00097069" w:rsidRPr="00097069">
        <w:rPr>
          <w:rFonts w:ascii="Bookman Old Style" w:hAnsi="Bookman Old Style"/>
          <w:b/>
        </w:rPr>
        <w:t>comma 903</w:t>
      </w:r>
      <w:r w:rsidR="00097069">
        <w:rPr>
          <w:rFonts w:ascii="Bookman Old Style" w:hAnsi="Bookman Old Style"/>
          <w:b/>
        </w:rPr>
        <w:t>, modificando l’art. 16</w:t>
      </w:r>
      <w:r w:rsidR="00F27396">
        <w:rPr>
          <w:rFonts w:ascii="Bookman Old Style" w:hAnsi="Bookman Old Style"/>
          <w:b/>
        </w:rPr>
        <w:t>1</w:t>
      </w:r>
      <w:r w:rsidR="00097069">
        <w:rPr>
          <w:rFonts w:ascii="Bookman Old Style" w:hAnsi="Bookman Old Style"/>
          <w:b/>
        </w:rPr>
        <w:t xml:space="preserve"> del TUEL</w:t>
      </w:r>
      <w:r w:rsidR="00097069">
        <w:rPr>
          <w:rFonts w:ascii="Bookman Old Style" w:hAnsi="Bookman Old Style"/>
        </w:rPr>
        <w:t xml:space="preserve"> dà facoltà al </w:t>
      </w:r>
      <w:r w:rsidR="00FD0CA0">
        <w:rPr>
          <w:rFonts w:ascii="Bookman Old Style" w:hAnsi="Bookman Old Style"/>
        </w:rPr>
        <w:t xml:space="preserve">Ministero dell’interno </w:t>
      </w:r>
      <w:r w:rsidR="00097069">
        <w:rPr>
          <w:rFonts w:ascii="Bookman Old Style" w:hAnsi="Bookman Old Style"/>
        </w:rPr>
        <w:t xml:space="preserve">di </w:t>
      </w:r>
      <w:r w:rsidR="00FD0CA0">
        <w:rPr>
          <w:rFonts w:ascii="Bookman Old Style" w:hAnsi="Bookman Old Style"/>
        </w:rPr>
        <w:t xml:space="preserve">richiedere specifiche certificazioni, la cui struttura, modalità di redazione e termini di presentazione sono stabiliti, previo parere di Anci e </w:t>
      </w:r>
      <w:proofErr w:type="spellStart"/>
      <w:r w:rsidR="00FD0CA0">
        <w:rPr>
          <w:rFonts w:ascii="Bookman Old Style" w:hAnsi="Bookman Old Style"/>
        </w:rPr>
        <w:t>Upi</w:t>
      </w:r>
      <w:proofErr w:type="spellEnd"/>
      <w:r w:rsidR="00FD0CA0">
        <w:rPr>
          <w:rFonts w:ascii="Bookman Old Style" w:hAnsi="Bookman Old Style"/>
        </w:rPr>
        <w:t xml:space="preserve">, con decreto del Ministero stesso. I dati delle certificazioni così ottenuti saranno resi disponibili sul sito del Dipartimento per gli affari interni e territoriali del Ministero dell’interno e anche </w:t>
      </w:r>
      <w:r w:rsidR="00097069">
        <w:rPr>
          <w:rFonts w:ascii="Bookman Old Style" w:hAnsi="Bookman Old Style"/>
        </w:rPr>
        <w:t xml:space="preserve">acquisiti alla </w:t>
      </w:r>
      <w:r w:rsidR="00FD0CA0">
        <w:rPr>
          <w:rFonts w:ascii="Bookman Old Style" w:hAnsi="Bookman Old Style"/>
        </w:rPr>
        <w:t xml:space="preserve">BDAP. Viene infine </w:t>
      </w:r>
      <w:r w:rsidR="00FD0CA0" w:rsidRPr="00097069">
        <w:rPr>
          <w:rFonts w:ascii="Bookman Old Style" w:hAnsi="Bookman Old Style"/>
          <w:b/>
        </w:rPr>
        <w:t>prevista una sanzione</w:t>
      </w:r>
      <w:r w:rsidR="00FD0CA0">
        <w:rPr>
          <w:rFonts w:ascii="Bookman Old Style" w:hAnsi="Bookman Old Style"/>
        </w:rPr>
        <w:t xml:space="preserve"> nel caso in cui gli enti non trasmettano, entro 30 giorni dal termine previsto per l’approvazione, i dati del bilanci</w:t>
      </w:r>
      <w:r w:rsidR="00097069">
        <w:rPr>
          <w:rFonts w:ascii="Bookman Old Style" w:hAnsi="Bookman Old Style"/>
        </w:rPr>
        <w:t>o</w:t>
      </w:r>
      <w:r w:rsidR="00FD0CA0">
        <w:rPr>
          <w:rFonts w:ascii="Bookman Old Style" w:hAnsi="Bookman Old Style"/>
        </w:rPr>
        <w:t xml:space="preserve"> di previsione, del rendiconto e del bilancio consolidato. In questo caso sono sospesi i pagamenti delle risorse dovute dal Ministero dell’interno, comprese quelle a valere sul fondo di solidarietà comunale. In sede di prima applicazione, la sanzione decorre dal 1° novembre 2019 relativamente al bilancio di previsione.</w:t>
      </w:r>
    </w:p>
    <w:p w:rsidR="00FD0CA0" w:rsidRDefault="00097069" w:rsidP="00125144">
      <w:pPr>
        <w:spacing w:after="80"/>
        <w:ind w:firstLine="0"/>
        <w:rPr>
          <w:rFonts w:ascii="Bookman Old Style" w:hAnsi="Bookman Old Style"/>
        </w:rPr>
      </w:pPr>
      <w:r>
        <w:rPr>
          <w:rFonts w:ascii="Bookman Old Style" w:hAnsi="Bookman Old Style"/>
        </w:rPr>
        <w:t>I</w:t>
      </w:r>
      <w:r w:rsidR="0043027E">
        <w:rPr>
          <w:rFonts w:ascii="Bookman Old Style" w:hAnsi="Bookman Old Style"/>
        </w:rPr>
        <w:t xml:space="preserve">l </w:t>
      </w:r>
      <w:r w:rsidR="0043027E" w:rsidRPr="0043027E">
        <w:rPr>
          <w:rFonts w:ascii="Bookman Old Style" w:hAnsi="Bookman Old Style"/>
          <w:b/>
        </w:rPr>
        <w:t>comma 904</w:t>
      </w:r>
      <w:r w:rsidR="0043027E">
        <w:rPr>
          <w:rFonts w:ascii="Bookman Old Style" w:hAnsi="Bookman Old Style"/>
        </w:rPr>
        <w:t xml:space="preserve"> </w:t>
      </w:r>
      <w:r w:rsidR="00FD0CA0" w:rsidRPr="00125144">
        <w:rPr>
          <w:rFonts w:ascii="Bookman Old Style" w:hAnsi="Bookman Old Style"/>
          <w:b/>
        </w:rPr>
        <w:t>precisa che la sanzione di divieto di assunzioni di personale</w:t>
      </w:r>
      <w:r w:rsidR="00FD0CA0" w:rsidRPr="008B0A99">
        <w:rPr>
          <w:rFonts w:ascii="Bookman Old Style" w:hAnsi="Bookman Old Style"/>
        </w:rPr>
        <w:t xml:space="preserve"> a qualsiasi titolo</w:t>
      </w:r>
      <w:r>
        <w:rPr>
          <w:rFonts w:ascii="Bookman Old Style" w:hAnsi="Bookman Old Style"/>
        </w:rPr>
        <w:t xml:space="preserve"> (</w:t>
      </w:r>
      <w:r w:rsidRPr="00F27396">
        <w:rPr>
          <w:rFonts w:ascii="Bookman Old Style" w:hAnsi="Bookman Old Style"/>
          <w:i/>
          <w:szCs w:val="22"/>
        </w:rPr>
        <w:t>ex</w:t>
      </w:r>
      <w:r w:rsidR="00FD0CA0" w:rsidRPr="00F27396">
        <w:rPr>
          <w:rFonts w:ascii="Bookman Old Style" w:hAnsi="Bookman Old Style"/>
          <w:szCs w:val="22"/>
        </w:rPr>
        <w:t xml:space="preserve"> </w:t>
      </w:r>
      <w:r w:rsidR="00125144" w:rsidRPr="00F27396">
        <w:rPr>
          <w:rFonts w:ascii="Bookman Old Style" w:hAnsi="Bookman Old Style" w:cs="Arial"/>
          <w:color w:val="333333"/>
          <w:szCs w:val="22"/>
          <w:shd w:val="clear" w:color="auto" w:fill="FFFFFF"/>
        </w:rPr>
        <w:t>art.9, co.1-</w:t>
      </w:r>
      <w:r w:rsidR="00125144" w:rsidRPr="00F27396">
        <w:rPr>
          <w:rFonts w:ascii="Bookman Old Style" w:hAnsi="Bookman Old Style" w:cs="Arial"/>
          <w:i/>
          <w:iCs/>
          <w:color w:val="333333"/>
          <w:szCs w:val="22"/>
          <w:shd w:val="clear" w:color="auto" w:fill="FFFFFF"/>
        </w:rPr>
        <w:t>quinquies</w:t>
      </w:r>
      <w:r w:rsidR="00125144" w:rsidRPr="00F27396">
        <w:rPr>
          <w:rFonts w:ascii="Bookman Old Style" w:hAnsi="Bookman Old Style" w:cs="Arial"/>
          <w:color w:val="333333"/>
          <w:szCs w:val="22"/>
          <w:shd w:val="clear" w:color="auto" w:fill="FFFFFF"/>
        </w:rPr>
        <w:t>, del </w:t>
      </w:r>
      <w:r w:rsidR="00125144" w:rsidRPr="00F27396">
        <w:rPr>
          <w:rFonts w:ascii="Bookman Old Style" w:hAnsi="Bookman Old Style" w:cs="Arial"/>
          <w:szCs w:val="22"/>
          <w:shd w:val="clear" w:color="auto" w:fill="FFFFFF"/>
        </w:rPr>
        <w:t xml:space="preserve">dl n. 113/2016) </w:t>
      </w:r>
      <w:r w:rsidR="00FD0CA0" w:rsidRPr="00F27396">
        <w:rPr>
          <w:rFonts w:ascii="Bookman Old Style" w:hAnsi="Bookman Old Style"/>
          <w:b/>
          <w:szCs w:val="22"/>
        </w:rPr>
        <w:t>si applica</w:t>
      </w:r>
      <w:r w:rsidR="00FD0CA0" w:rsidRPr="00F27396">
        <w:rPr>
          <w:rFonts w:ascii="Bookman Old Style" w:hAnsi="Bookman Old Style"/>
          <w:szCs w:val="22"/>
        </w:rPr>
        <w:t xml:space="preserve"> </w:t>
      </w:r>
      <w:r w:rsidR="00FD0CA0" w:rsidRPr="00F27396">
        <w:rPr>
          <w:rFonts w:ascii="Bookman Old Style" w:hAnsi="Bookman Old Style"/>
          <w:b/>
          <w:szCs w:val="22"/>
        </w:rPr>
        <w:t>nel</w:t>
      </w:r>
      <w:r w:rsidR="00FD0CA0" w:rsidRPr="00125144">
        <w:rPr>
          <w:rFonts w:ascii="Bookman Old Style" w:hAnsi="Bookman Old Style"/>
          <w:b/>
        </w:rPr>
        <w:t xml:space="preserve"> caso del mancato invio dei dati alla BDAP entro trenta giorni</w:t>
      </w:r>
      <w:r w:rsidR="00FD0CA0" w:rsidRPr="008B0A99">
        <w:rPr>
          <w:rFonts w:ascii="Bookman Old Style" w:hAnsi="Bookman Old Style"/>
        </w:rPr>
        <w:t xml:space="preserve"> </w:t>
      </w:r>
      <w:r w:rsidR="00125144" w:rsidRPr="00125144">
        <w:rPr>
          <w:rFonts w:ascii="Bookman Old Style" w:hAnsi="Bookman Old Style"/>
          <w:b/>
        </w:rPr>
        <w:t>dal termine previsto</w:t>
      </w:r>
      <w:r w:rsidR="00125144" w:rsidRPr="00125144">
        <w:rPr>
          <w:rFonts w:ascii="Bookman Old Style" w:hAnsi="Bookman Old Style"/>
        </w:rPr>
        <w:t xml:space="preserve"> </w:t>
      </w:r>
      <w:r w:rsidR="00125144">
        <w:rPr>
          <w:rFonts w:ascii="Bookman Old Style" w:hAnsi="Bookman Old Style"/>
        </w:rPr>
        <w:t>per l’approvazione dei documenti contabili e non “</w:t>
      </w:r>
      <w:r w:rsidR="00FD0CA0" w:rsidRPr="008B0A99">
        <w:rPr>
          <w:rFonts w:ascii="Bookman Old Style" w:hAnsi="Bookman Old Style"/>
        </w:rPr>
        <w:t>dalla approvazione</w:t>
      </w:r>
      <w:r w:rsidR="00125144">
        <w:rPr>
          <w:rFonts w:ascii="Bookman Old Style" w:hAnsi="Bookman Old Style"/>
        </w:rPr>
        <w:t>”</w:t>
      </w:r>
      <w:r w:rsidR="00FD0CA0" w:rsidRPr="008B0A99">
        <w:rPr>
          <w:rFonts w:ascii="Bookman Old Style" w:hAnsi="Bookman Old Style"/>
        </w:rPr>
        <w:t xml:space="preserve"> dei documenti </w:t>
      </w:r>
      <w:r w:rsidR="00125144">
        <w:rPr>
          <w:rFonts w:ascii="Bookman Old Style" w:hAnsi="Bookman Old Style"/>
        </w:rPr>
        <w:t>stessi</w:t>
      </w:r>
      <w:r w:rsidR="00FD0CA0">
        <w:rPr>
          <w:rFonts w:ascii="Bookman Old Style" w:hAnsi="Bookman Old Style"/>
        </w:rPr>
        <w:t>. Viene pertanto esteso il termine entro il quale l’ente deve adempiere all’invio dei dati in BDAP, nel caso in cui i documenti contabili siano approvati entro il termine previsto dalla normativa.</w:t>
      </w:r>
    </w:p>
    <w:p w:rsidR="00FD0CA0" w:rsidRPr="00BC3DDB" w:rsidRDefault="00097069" w:rsidP="00125144">
      <w:pPr>
        <w:spacing w:after="80"/>
        <w:ind w:firstLine="0"/>
        <w:rPr>
          <w:rFonts w:ascii="Bookman Old Style" w:hAnsi="Bookman Old Style"/>
        </w:rPr>
      </w:pPr>
      <w:r w:rsidRPr="00097069">
        <w:rPr>
          <w:rFonts w:ascii="Bookman Old Style" w:hAnsi="Bookman Old Style"/>
          <w:b/>
        </w:rPr>
        <w:t xml:space="preserve">Il comma 905 introduce alcune semplificazioni </w:t>
      </w:r>
      <w:r w:rsidR="00FD0CA0" w:rsidRPr="00097069">
        <w:rPr>
          <w:rFonts w:ascii="Bookman Old Style" w:hAnsi="Bookman Old Style"/>
          <w:b/>
        </w:rPr>
        <w:t xml:space="preserve">per i comuni (e le loro forme associative) </w:t>
      </w:r>
      <w:r w:rsidR="00125144">
        <w:rPr>
          <w:rFonts w:ascii="Bookman Old Style" w:hAnsi="Bookman Old Style"/>
          <w:b/>
        </w:rPr>
        <w:t xml:space="preserve">condizionate all’approvazione dei </w:t>
      </w:r>
      <w:r w:rsidR="00FD0CA0" w:rsidRPr="00097069">
        <w:rPr>
          <w:rFonts w:ascii="Bookman Old Style" w:hAnsi="Bookman Old Style"/>
          <w:b/>
        </w:rPr>
        <w:t xml:space="preserve">i bilanci entro i termini </w:t>
      </w:r>
      <w:r>
        <w:rPr>
          <w:rFonts w:ascii="Bookman Old Style" w:hAnsi="Bookman Old Style"/>
          <w:b/>
        </w:rPr>
        <w:t xml:space="preserve">ordinari </w:t>
      </w:r>
      <w:r w:rsidR="00FD0CA0" w:rsidRPr="00097069">
        <w:rPr>
          <w:rFonts w:ascii="Bookman Old Style" w:hAnsi="Bookman Old Style"/>
          <w:b/>
        </w:rPr>
        <w:t>previsti dal TUEL</w:t>
      </w:r>
      <w:r w:rsidR="00FD0CA0" w:rsidRPr="00BC3DDB">
        <w:rPr>
          <w:rFonts w:ascii="Bookman Old Style" w:hAnsi="Bookman Old Style"/>
        </w:rPr>
        <w:t>, ossia il bilancio consuntivo entro il 30 aprile dell’anno successivo e il bilancio preventivo entro il 31 dicembre dell'anno precedente all’esercizio di riferimento. Le norme che non trovano applicazione sono le seguenti:</w:t>
      </w:r>
    </w:p>
    <w:p w:rsidR="00FD0CA0" w:rsidRPr="00BC3DDB" w:rsidRDefault="00FD0CA0" w:rsidP="00125144">
      <w:pPr>
        <w:pStyle w:val="Paragrafoelenco"/>
        <w:numPr>
          <w:ilvl w:val="0"/>
          <w:numId w:val="15"/>
        </w:numPr>
        <w:spacing w:after="80"/>
        <w:contextualSpacing w:val="0"/>
        <w:rPr>
          <w:rFonts w:ascii="Bookman Old Style" w:hAnsi="Bookman Old Style"/>
        </w:rPr>
      </w:pPr>
      <w:r w:rsidRPr="00BC3DDB">
        <w:rPr>
          <w:rFonts w:ascii="Bookman Old Style" w:eastAsiaTheme="minorHAnsi" w:hAnsi="Bookman Old Style"/>
          <w:lang w:eastAsia="en-US"/>
        </w:rPr>
        <w:t xml:space="preserve">commi 4 e 5 dell’articolo 5 della </w:t>
      </w:r>
      <w:r w:rsidR="00E6430B">
        <w:rPr>
          <w:rFonts w:ascii="Bookman Old Style" w:eastAsiaTheme="minorHAnsi" w:hAnsi="Bookman Old Style"/>
          <w:lang w:eastAsia="en-US"/>
        </w:rPr>
        <w:t xml:space="preserve">legge n. </w:t>
      </w:r>
      <w:r w:rsidRPr="00BC3DDB">
        <w:rPr>
          <w:rFonts w:ascii="Bookman Old Style" w:eastAsiaTheme="minorHAnsi" w:hAnsi="Bookman Old Style"/>
          <w:lang w:eastAsia="en-US"/>
        </w:rPr>
        <w:t xml:space="preserve">67/1987, relativo </w:t>
      </w:r>
      <w:r w:rsidRPr="00125144">
        <w:rPr>
          <w:rFonts w:ascii="Bookman Old Style" w:eastAsiaTheme="minorHAnsi" w:hAnsi="Bookman Old Style"/>
          <w:b/>
          <w:lang w:eastAsia="en-US"/>
        </w:rPr>
        <w:t>all’obbligo di comunicazione</w:t>
      </w:r>
      <w:r w:rsidRPr="00BC3DDB">
        <w:rPr>
          <w:rFonts w:ascii="Bookman Old Style" w:eastAsiaTheme="minorHAnsi" w:hAnsi="Bookman Old Style"/>
          <w:lang w:eastAsia="en-US"/>
        </w:rPr>
        <w:t xml:space="preserve"> al Garante delle telecomunicazioni </w:t>
      </w:r>
      <w:r w:rsidRPr="00125144">
        <w:rPr>
          <w:rFonts w:ascii="Bookman Old Style" w:eastAsiaTheme="minorHAnsi" w:hAnsi="Bookman Old Style"/>
          <w:b/>
          <w:lang w:eastAsia="en-US"/>
        </w:rPr>
        <w:t>delle spese pubblicitarie</w:t>
      </w:r>
      <w:r w:rsidRPr="00BC3DDB">
        <w:rPr>
          <w:rFonts w:ascii="Bookman Old Style" w:eastAsiaTheme="minorHAnsi" w:hAnsi="Bookman Old Style"/>
          <w:lang w:eastAsia="en-US"/>
        </w:rPr>
        <w:t xml:space="preserve"> effettuate nel corso di ogni esercizio finanziario, con deposito di riepilogo analitico. </w:t>
      </w:r>
      <w:r w:rsidR="00E6430B">
        <w:rPr>
          <w:rFonts w:ascii="Bookman Old Style" w:eastAsiaTheme="minorHAnsi" w:hAnsi="Bookman Old Style"/>
          <w:lang w:eastAsia="en-US"/>
        </w:rPr>
        <w:t>L’obbligo riguarda tutte le amministrazioni pubbliche anche in caso di dichiarazione negativa</w:t>
      </w:r>
      <w:r w:rsidR="00E6430B">
        <w:rPr>
          <w:rFonts w:ascii="Bookman Old Style" w:hAnsi="Bookman Old Style"/>
        </w:rPr>
        <w:t xml:space="preserve">. A norma del </w:t>
      </w:r>
      <w:r w:rsidRPr="00BC3DDB">
        <w:rPr>
          <w:rFonts w:ascii="Bookman Old Style" w:hAnsi="Bookman Old Style"/>
        </w:rPr>
        <w:t>comma 5</w:t>
      </w:r>
      <w:r w:rsidR="00E6430B">
        <w:rPr>
          <w:rFonts w:ascii="Bookman Old Style" w:hAnsi="Bookman Old Style"/>
        </w:rPr>
        <w:t xml:space="preserve">, </w:t>
      </w:r>
      <w:r w:rsidRPr="00BC3DDB">
        <w:rPr>
          <w:rFonts w:ascii="Bookman Old Style" w:hAnsi="Bookman Old Style"/>
        </w:rPr>
        <w:t>sono esentati dalla comunicazione negativa i comuni con meno di 40.000 abitanti;</w:t>
      </w:r>
    </w:p>
    <w:p w:rsidR="00FD0CA0" w:rsidRPr="00BC3DDB" w:rsidRDefault="00FD0CA0" w:rsidP="00125144">
      <w:pPr>
        <w:pStyle w:val="Paragrafoelenco"/>
        <w:numPr>
          <w:ilvl w:val="0"/>
          <w:numId w:val="15"/>
        </w:numPr>
        <w:spacing w:after="80"/>
        <w:contextualSpacing w:val="0"/>
        <w:rPr>
          <w:rFonts w:ascii="Bookman Old Style" w:hAnsi="Bookman Old Style"/>
        </w:rPr>
      </w:pPr>
      <w:r w:rsidRPr="00BC3DDB">
        <w:rPr>
          <w:rFonts w:ascii="Bookman Old Style" w:hAnsi="Bookman Old Style"/>
        </w:rPr>
        <w:t xml:space="preserve">comma 594, articolo 2, della </w:t>
      </w:r>
      <w:r w:rsidR="00E6430B">
        <w:rPr>
          <w:rFonts w:ascii="Bookman Old Style" w:hAnsi="Bookman Old Style"/>
        </w:rPr>
        <w:t xml:space="preserve">legge </w:t>
      </w:r>
      <w:r w:rsidRPr="00BC3DDB">
        <w:rPr>
          <w:rFonts w:ascii="Bookman Old Style" w:hAnsi="Bookman Old Style"/>
        </w:rPr>
        <w:t>n. 244/2007, il quale dispone che ai fini del contenimento delle spese di funzionamento delle proprie strutture, le amministrazioni pubbliche (di cui all’art</w:t>
      </w:r>
      <w:r w:rsidR="00E6430B">
        <w:rPr>
          <w:rFonts w:ascii="Bookman Old Style" w:hAnsi="Bookman Old Style"/>
        </w:rPr>
        <w:t>.</w:t>
      </w:r>
      <w:r w:rsidRPr="00BC3DDB">
        <w:rPr>
          <w:rFonts w:ascii="Bookman Old Style" w:hAnsi="Bookman Old Style"/>
        </w:rPr>
        <w:t>1, co</w:t>
      </w:r>
      <w:r w:rsidR="00E6430B">
        <w:rPr>
          <w:rFonts w:ascii="Bookman Old Style" w:hAnsi="Bookman Old Style"/>
        </w:rPr>
        <w:t>.</w:t>
      </w:r>
      <w:r w:rsidRPr="00BC3DDB">
        <w:rPr>
          <w:rFonts w:ascii="Bookman Old Style" w:hAnsi="Bookman Old Style"/>
        </w:rPr>
        <w:t xml:space="preserve">2, del D.lgs. 165/2001), adottano </w:t>
      </w:r>
      <w:r w:rsidRPr="00125144">
        <w:rPr>
          <w:rFonts w:ascii="Bookman Old Style" w:hAnsi="Bookman Old Style"/>
          <w:b/>
        </w:rPr>
        <w:t>piani triennali</w:t>
      </w:r>
      <w:r w:rsidRPr="00BC3DDB">
        <w:rPr>
          <w:rFonts w:ascii="Bookman Old Style" w:hAnsi="Bookman Old Style"/>
        </w:rPr>
        <w:t xml:space="preserve"> per l’individuazione di misure finalizzate alla </w:t>
      </w:r>
      <w:r w:rsidRPr="00125144">
        <w:rPr>
          <w:rFonts w:ascii="Bookman Old Style" w:hAnsi="Bookman Old Style"/>
          <w:b/>
        </w:rPr>
        <w:t>razionalizzazione dell’utilizzo delle dotazioni strumentali</w:t>
      </w:r>
      <w:r w:rsidRPr="00BC3DDB">
        <w:rPr>
          <w:rFonts w:ascii="Bookman Old Style" w:hAnsi="Bookman Old Style"/>
        </w:rPr>
        <w:t>, anche informatiche</w:t>
      </w:r>
      <w:r>
        <w:rPr>
          <w:rFonts w:ascii="Bookman Old Style" w:hAnsi="Bookman Old Style"/>
        </w:rPr>
        <w:t>,</w:t>
      </w:r>
      <w:r w:rsidRPr="00BC3DDB">
        <w:rPr>
          <w:rFonts w:ascii="Bookman Old Style" w:hAnsi="Bookman Old Style"/>
        </w:rPr>
        <w:t xml:space="preserve"> delle autovetture di servizio</w:t>
      </w:r>
      <w:r>
        <w:rPr>
          <w:rFonts w:ascii="Bookman Old Style" w:hAnsi="Bookman Old Style"/>
        </w:rPr>
        <w:t>,</w:t>
      </w:r>
      <w:r w:rsidRPr="00BC3DDB">
        <w:rPr>
          <w:rFonts w:ascii="Bookman Old Style" w:hAnsi="Bookman Old Style"/>
        </w:rPr>
        <w:t xml:space="preserve"> dei beni immobili ad uso abitativo o di servizio, con esclusione dei beni infrastrutturali;</w:t>
      </w:r>
    </w:p>
    <w:p w:rsidR="00FD0CA0" w:rsidRPr="00BC3DDB" w:rsidRDefault="00FD0CA0" w:rsidP="00125144">
      <w:pPr>
        <w:pStyle w:val="Paragrafoelenco"/>
        <w:numPr>
          <w:ilvl w:val="0"/>
          <w:numId w:val="15"/>
        </w:numPr>
        <w:spacing w:after="80"/>
        <w:contextualSpacing w:val="0"/>
        <w:rPr>
          <w:rFonts w:ascii="Bookman Old Style" w:hAnsi="Bookman Old Style"/>
        </w:rPr>
      </w:pPr>
      <w:r>
        <w:rPr>
          <w:rFonts w:ascii="Bookman Old Style" w:hAnsi="Bookman Old Style"/>
        </w:rPr>
        <w:t>commi 12 e 14 dell’</w:t>
      </w:r>
      <w:r w:rsidRPr="00BC3DDB">
        <w:rPr>
          <w:rFonts w:ascii="Bookman Old Style" w:hAnsi="Bookman Old Style"/>
        </w:rPr>
        <w:t>articolo 6 del Dl 78/2010</w:t>
      </w:r>
      <w:r>
        <w:rPr>
          <w:rFonts w:ascii="Bookman Old Style" w:hAnsi="Bookman Old Style"/>
        </w:rPr>
        <w:t xml:space="preserve">, relativi </w:t>
      </w:r>
      <w:r w:rsidRPr="00BC3DDB">
        <w:rPr>
          <w:rFonts w:ascii="Bookman Old Style" w:hAnsi="Bookman Old Style"/>
        </w:rPr>
        <w:t xml:space="preserve">alla riduzione dei costi degli apparati amministrativi. In sintesi, il comma 12 prevede che le amministrazioni pubbliche non possono effettuare </w:t>
      </w:r>
      <w:r w:rsidRPr="00125144">
        <w:rPr>
          <w:rFonts w:ascii="Bookman Old Style" w:hAnsi="Bookman Old Style"/>
          <w:b/>
        </w:rPr>
        <w:t>spese per missioni</w:t>
      </w:r>
      <w:r w:rsidR="00E6430B">
        <w:rPr>
          <w:rFonts w:ascii="Bookman Old Style" w:hAnsi="Bookman Old Style"/>
          <w:b/>
        </w:rPr>
        <w:t xml:space="preserve"> </w:t>
      </w:r>
      <w:r w:rsidRPr="00125144">
        <w:rPr>
          <w:rFonts w:ascii="Bookman Old Style" w:hAnsi="Bookman Old Style"/>
          <w:b/>
        </w:rPr>
        <w:t>per un ammontare superiore al 50% della spesa sostenuta nell'anno 2009</w:t>
      </w:r>
      <w:r w:rsidRPr="00BC3DDB">
        <w:rPr>
          <w:rFonts w:ascii="Bookman Old Style" w:hAnsi="Bookman Old Style"/>
        </w:rPr>
        <w:t xml:space="preserve">. Il comma 14 dispone che a decorrere dall'anno 2011 le amministrazioni pubbliche non possono </w:t>
      </w:r>
      <w:r w:rsidRPr="00125144">
        <w:rPr>
          <w:rFonts w:ascii="Bookman Old Style" w:hAnsi="Bookman Old Style"/>
          <w:b/>
        </w:rPr>
        <w:t xml:space="preserve">effettuare </w:t>
      </w:r>
      <w:r w:rsidRPr="00E6430B">
        <w:rPr>
          <w:rFonts w:ascii="Bookman Old Style" w:hAnsi="Bookman Old Style"/>
          <w:b/>
        </w:rPr>
        <w:t>spese</w:t>
      </w:r>
      <w:r w:rsidR="00125144" w:rsidRPr="00E6430B">
        <w:rPr>
          <w:rFonts w:ascii="Bookman Old Style" w:hAnsi="Bookman Old Style"/>
          <w:b/>
        </w:rPr>
        <w:t xml:space="preserve"> per </w:t>
      </w:r>
      <w:r w:rsidR="00E6430B" w:rsidRPr="00E6430B">
        <w:rPr>
          <w:rFonts w:ascii="Bookman Old Style" w:hAnsi="Bookman Old Style"/>
          <w:b/>
        </w:rPr>
        <w:t>autovetture</w:t>
      </w:r>
      <w:r w:rsidR="00E6430B">
        <w:rPr>
          <w:rFonts w:ascii="Bookman Old Style" w:hAnsi="Bookman Old Style"/>
        </w:rPr>
        <w:t xml:space="preserve"> (</w:t>
      </w:r>
      <w:r w:rsidR="00125144" w:rsidRPr="00BC3DDB">
        <w:rPr>
          <w:rFonts w:ascii="Bookman Old Style" w:hAnsi="Bookman Old Style"/>
        </w:rPr>
        <w:t>acquisto, manutenzione, noleggio</w:t>
      </w:r>
      <w:r w:rsidR="00E6430B">
        <w:rPr>
          <w:rFonts w:ascii="Bookman Old Style" w:hAnsi="Bookman Old Style"/>
        </w:rPr>
        <w:t>, buoni taxi)</w:t>
      </w:r>
      <w:r w:rsidR="00125144" w:rsidRPr="00BC3DDB">
        <w:rPr>
          <w:rFonts w:ascii="Bookman Old Style" w:hAnsi="Bookman Old Style"/>
        </w:rPr>
        <w:t xml:space="preserve">, </w:t>
      </w:r>
      <w:r w:rsidRPr="00125144">
        <w:rPr>
          <w:rFonts w:ascii="Bookman Old Style" w:hAnsi="Bookman Old Style"/>
          <w:b/>
        </w:rPr>
        <w:t>per un ammontare superiore all'80 per cento della spesa sostenuta nell'anno 2009</w:t>
      </w:r>
      <w:r>
        <w:rPr>
          <w:rFonts w:ascii="Bookman Old Style" w:hAnsi="Bookman Old Style"/>
        </w:rPr>
        <w:t>;</w:t>
      </w:r>
    </w:p>
    <w:p w:rsidR="00FD0CA0" w:rsidRPr="00BC3DDB" w:rsidRDefault="00FD0CA0" w:rsidP="00125144">
      <w:pPr>
        <w:pStyle w:val="Paragrafoelenco"/>
        <w:numPr>
          <w:ilvl w:val="0"/>
          <w:numId w:val="15"/>
        </w:numPr>
        <w:spacing w:after="80"/>
        <w:contextualSpacing w:val="0"/>
        <w:rPr>
          <w:rFonts w:ascii="Bookman Old Style" w:hAnsi="Bookman Old Style"/>
        </w:rPr>
      </w:pPr>
      <w:r>
        <w:rPr>
          <w:rFonts w:ascii="Bookman Old Style" w:hAnsi="Bookman Old Style"/>
        </w:rPr>
        <w:t>comma 1-ter dell’</w:t>
      </w:r>
      <w:r w:rsidRPr="00BC3DDB">
        <w:rPr>
          <w:rFonts w:ascii="Bookman Old Style" w:hAnsi="Bookman Old Style"/>
        </w:rPr>
        <w:t xml:space="preserve">articolo 12 del Dl 98/2011, il quale prevede che a decorrere dal 1° gennaio 2014, gli enti territoriali e gli enti del Servizio sanitario nazionale, al fine di pervenire a risparmi di spesa ulteriori rispetto a quelli previsti dal patto di stabilità interno, effettuano </w:t>
      </w:r>
      <w:r w:rsidRPr="00125144">
        <w:rPr>
          <w:rFonts w:ascii="Bookman Old Style" w:hAnsi="Bookman Old Style"/>
          <w:b/>
        </w:rPr>
        <w:t xml:space="preserve">operazioni di acquisto di immobili solo ove ne siano comprovate </w:t>
      </w:r>
      <w:proofErr w:type="spellStart"/>
      <w:r w:rsidRPr="00125144">
        <w:rPr>
          <w:rFonts w:ascii="Bookman Old Style" w:hAnsi="Bookman Old Style"/>
          <w:b/>
        </w:rPr>
        <w:t>documentalmente</w:t>
      </w:r>
      <w:proofErr w:type="spellEnd"/>
      <w:r w:rsidRPr="00125144">
        <w:rPr>
          <w:rFonts w:ascii="Bookman Old Style" w:hAnsi="Bookman Old Style"/>
          <w:b/>
        </w:rPr>
        <w:t xml:space="preserve"> l'indispensabilità e l'</w:t>
      </w:r>
      <w:proofErr w:type="spellStart"/>
      <w:r w:rsidRPr="00125144">
        <w:rPr>
          <w:rFonts w:ascii="Bookman Old Style" w:hAnsi="Bookman Old Style"/>
          <w:b/>
        </w:rPr>
        <w:t>indilazionabilità</w:t>
      </w:r>
      <w:proofErr w:type="spellEnd"/>
      <w:r w:rsidRPr="00BC3DDB">
        <w:rPr>
          <w:rFonts w:ascii="Bookman Old Style" w:hAnsi="Bookman Old Style"/>
        </w:rPr>
        <w:t xml:space="preserve"> attestate dal</w:t>
      </w:r>
      <w:r>
        <w:rPr>
          <w:rFonts w:ascii="Bookman Old Style" w:hAnsi="Bookman Old Style"/>
        </w:rPr>
        <w:t xml:space="preserve"> responsabile del procedimento;</w:t>
      </w:r>
    </w:p>
    <w:p w:rsidR="00FD0CA0" w:rsidRPr="00474108" w:rsidRDefault="00FD0CA0" w:rsidP="00125144">
      <w:pPr>
        <w:pStyle w:val="Paragrafoelenco"/>
        <w:numPr>
          <w:ilvl w:val="0"/>
          <w:numId w:val="15"/>
        </w:numPr>
        <w:spacing w:after="80"/>
        <w:contextualSpacing w:val="0"/>
        <w:rPr>
          <w:rFonts w:ascii="Bookman Old Style" w:hAnsi="Bookman Old Style"/>
        </w:rPr>
      </w:pPr>
      <w:r>
        <w:rPr>
          <w:rFonts w:ascii="Bookman Old Style" w:hAnsi="Bookman Old Style"/>
        </w:rPr>
        <w:t>comma 2 dell’</w:t>
      </w:r>
      <w:r w:rsidRPr="00BC3DDB">
        <w:rPr>
          <w:rFonts w:ascii="Bookman Old Style" w:hAnsi="Bookman Old Style"/>
        </w:rPr>
        <w:t>articolo 5 del Dl 95/2012</w:t>
      </w:r>
      <w:r w:rsidR="00E6430B">
        <w:rPr>
          <w:rFonts w:ascii="Bookman Old Style" w:hAnsi="Bookman Old Style"/>
        </w:rPr>
        <w:t>,</w:t>
      </w:r>
      <w:r w:rsidRPr="00BC3DDB">
        <w:rPr>
          <w:rFonts w:ascii="Bookman Old Style" w:hAnsi="Bookman Old Style"/>
        </w:rPr>
        <w:t xml:space="preserve"> che dispone che a decorrere dal 1° maggio 2014, </w:t>
      </w:r>
      <w:r>
        <w:rPr>
          <w:rFonts w:ascii="Bookman Old Style" w:hAnsi="Bookman Old Style"/>
        </w:rPr>
        <w:t xml:space="preserve">le amministrazioni pubbliche </w:t>
      </w:r>
      <w:r w:rsidRPr="00474108">
        <w:rPr>
          <w:rFonts w:ascii="Bookman Old Style" w:hAnsi="Bookman Old Style"/>
        </w:rPr>
        <w:t xml:space="preserve">non possono effettuare </w:t>
      </w:r>
      <w:r w:rsidRPr="00125144">
        <w:rPr>
          <w:rFonts w:ascii="Bookman Old Style" w:hAnsi="Bookman Old Style"/>
          <w:b/>
        </w:rPr>
        <w:t xml:space="preserve">spese </w:t>
      </w:r>
      <w:r w:rsidR="00125144" w:rsidRPr="00125144">
        <w:rPr>
          <w:rFonts w:ascii="Bookman Old Style" w:hAnsi="Bookman Old Style"/>
          <w:b/>
        </w:rPr>
        <w:t>per</w:t>
      </w:r>
      <w:r w:rsidR="00125144" w:rsidRPr="00474108">
        <w:rPr>
          <w:rFonts w:ascii="Bookman Old Style" w:hAnsi="Bookman Old Style"/>
        </w:rPr>
        <w:t xml:space="preserve"> </w:t>
      </w:r>
      <w:r w:rsidR="00125144" w:rsidRPr="00125144">
        <w:rPr>
          <w:rFonts w:ascii="Bookman Old Style" w:hAnsi="Bookman Old Style"/>
          <w:b/>
        </w:rPr>
        <w:t>autovetture</w:t>
      </w:r>
      <w:r w:rsidR="00125144" w:rsidRPr="00474108">
        <w:rPr>
          <w:rFonts w:ascii="Bookman Old Style" w:hAnsi="Bookman Old Style"/>
        </w:rPr>
        <w:t xml:space="preserve">, </w:t>
      </w:r>
      <w:r w:rsidRPr="00125144">
        <w:rPr>
          <w:rFonts w:ascii="Bookman Old Style" w:hAnsi="Bookman Old Style"/>
          <w:b/>
        </w:rPr>
        <w:t>di ammontare superiore al 30 per cento della spesa sostenuta nell'anno 2011</w:t>
      </w:r>
      <w:r>
        <w:rPr>
          <w:rFonts w:ascii="Bookman Old Style" w:hAnsi="Bookman Old Style"/>
        </w:rPr>
        <w:t>;</w:t>
      </w:r>
    </w:p>
    <w:p w:rsidR="00FD0CA0" w:rsidRPr="00BC3DDB" w:rsidRDefault="00FD0CA0" w:rsidP="00125144">
      <w:pPr>
        <w:pStyle w:val="Paragrafoelenco"/>
        <w:numPr>
          <w:ilvl w:val="0"/>
          <w:numId w:val="15"/>
        </w:numPr>
        <w:spacing w:after="80"/>
        <w:contextualSpacing w:val="0"/>
        <w:rPr>
          <w:rFonts w:ascii="Bookman Old Style" w:hAnsi="Bookman Old Style"/>
        </w:rPr>
      </w:pPr>
      <w:r w:rsidRPr="00BC3DDB">
        <w:rPr>
          <w:rFonts w:ascii="Bookman Old Style" w:hAnsi="Bookman Old Style"/>
        </w:rPr>
        <w:t>articolo 24 del Dl 66/2014</w:t>
      </w:r>
      <w:r w:rsidR="00E6430B">
        <w:rPr>
          <w:rFonts w:ascii="Bookman Old Style" w:hAnsi="Bookman Old Style"/>
        </w:rPr>
        <w:t>,</w:t>
      </w:r>
      <w:r w:rsidRPr="00BC3DDB">
        <w:rPr>
          <w:rFonts w:ascii="Bookman Old Style" w:hAnsi="Bookman Old Style"/>
        </w:rPr>
        <w:t xml:space="preserve"> che riguarda le norme in materia di locazioni e manutenzioni di immobili da parte delle pubbliche amministrazioni. In particolare</w:t>
      </w:r>
      <w:r w:rsidR="00125144">
        <w:rPr>
          <w:rFonts w:ascii="Bookman Old Style" w:hAnsi="Bookman Old Style"/>
        </w:rPr>
        <w:t>,</w:t>
      </w:r>
      <w:r w:rsidRPr="00BC3DDB">
        <w:rPr>
          <w:rFonts w:ascii="Bookman Old Style" w:hAnsi="Bookman Old Style"/>
        </w:rPr>
        <w:t xml:space="preserve"> la disposizione in questione prevede specifici </w:t>
      </w:r>
      <w:r w:rsidRPr="00125144">
        <w:rPr>
          <w:rFonts w:ascii="Bookman Old Style" w:hAnsi="Bookman Old Style"/>
          <w:b/>
        </w:rPr>
        <w:t>obblighi volti a ridurre le spese concernenti la locazione e la manutenzione degli immobili</w:t>
      </w:r>
      <w:r w:rsidRPr="00BC3DDB">
        <w:rPr>
          <w:rFonts w:ascii="Bookman Old Style" w:hAnsi="Bookman Old Style"/>
        </w:rPr>
        <w:t>, anche attraverso il recesso contrattuale.</w:t>
      </w:r>
    </w:p>
    <w:p w:rsidR="003F7C63" w:rsidRDefault="003F7C63" w:rsidP="003F7C63">
      <w:pPr>
        <w:rPr>
          <w:rFonts w:eastAsiaTheme="minorHAnsi"/>
          <w:lang w:eastAsia="en-US"/>
        </w:rPr>
      </w:pPr>
    </w:p>
    <w:p w:rsidR="000C1038" w:rsidRPr="008B36A5" w:rsidRDefault="000C1038" w:rsidP="000C1038">
      <w:pPr>
        <w:pStyle w:val="Titolo2"/>
        <w:ind w:firstLine="0"/>
        <w:rPr>
          <w:rStyle w:val="Titolo1Carattere"/>
          <w:rFonts w:ascii="Bookman Old Style" w:hAnsi="Bookman Old Style"/>
          <w:b/>
          <w:sz w:val="22"/>
          <w:szCs w:val="22"/>
        </w:rPr>
      </w:pPr>
      <w:bookmarkStart w:id="56" w:name="_Toc533979326"/>
      <w:bookmarkStart w:id="57" w:name="_Toc534027982"/>
      <w:bookmarkStart w:id="58" w:name="_Toc533839441"/>
      <w:r w:rsidRPr="008B36A5">
        <w:rPr>
          <w:rStyle w:val="Titolo1Carattere"/>
          <w:rFonts w:ascii="Bookman Old Style" w:hAnsi="Bookman Old Style"/>
          <w:b/>
          <w:sz w:val="22"/>
          <w:szCs w:val="22"/>
        </w:rPr>
        <w:t xml:space="preserve">Norme su dissesto e </w:t>
      </w:r>
      <w:proofErr w:type="spellStart"/>
      <w:r w:rsidRPr="008B36A5">
        <w:rPr>
          <w:rStyle w:val="Titolo1Carattere"/>
          <w:rFonts w:ascii="Bookman Old Style" w:hAnsi="Bookman Old Style"/>
          <w:b/>
          <w:sz w:val="22"/>
          <w:szCs w:val="22"/>
        </w:rPr>
        <w:t>pre-dissesto</w:t>
      </w:r>
      <w:bookmarkEnd w:id="56"/>
      <w:bookmarkEnd w:id="57"/>
      <w:proofErr w:type="spellEnd"/>
    </w:p>
    <w:bookmarkEnd w:id="58"/>
    <w:p w:rsidR="000C1038" w:rsidRDefault="000C1038" w:rsidP="000C1038">
      <w:pPr>
        <w:spacing w:after="80"/>
        <w:ind w:firstLine="0"/>
        <w:rPr>
          <w:rFonts w:ascii="Bookman Old Style" w:hAnsi="Bookman Old Style"/>
        </w:rPr>
      </w:pPr>
      <w:r w:rsidRPr="000C1038">
        <w:rPr>
          <w:rFonts w:ascii="Bookman Old Style" w:eastAsiaTheme="minorEastAsia" w:hAnsi="Bookman Old Style"/>
          <w:b/>
        </w:rPr>
        <w:t>Il comma 828 esclude l’applicazione delle “</w:t>
      </w:r>
      <w:r w:rsidRPr="000C1038">
        <w:rPr>
          <w:rFonts w:ascii="Bookman Old Style" w:eastAsiaTheme="minorEastAsia" w:hAnsi="Bookman Old Style"/>
          <w:b/>
          <w:i/>
        </w:rPr>
        <w:t>limitazioni amministrative</w:t>
      </w:r>
      <w:r w:rsidRPr="000C1038">
        <w:rPr>
          <w:rFonts w:ascii="Bookman Old Style" w:eastAsiaTheme="minorEastAsia" w:hAnsi="Bookman Old Style"/>
          <w:b/>
        </w:rPr>
        <w:t>” connesse alle sanzioni</w:t>
      </w:r>
      <w:r>
        <w:rPr>
          <w:rFonts w:ascii="Bookman Old Style" w:eastAsiaTheme="minorEastAsia" w:hAnsi="Bookman Old Style"/>
        </w:rPr>
        <w:t xml:space="preserve"> per </w:t>
      </w:r>
      <w:r>
        <w:rPr>
          <w:rFonts w:ascii="Bookman Old Style" w:hAnsi="Bookman Old Style"/>
        </w:rPr>
        <w:t xml:space="preserve">violazioni del patto di stabilità o del saldo di competenza relativo all’anno 2016 che siano state accertate dalla Corte dei Conti e che alla data di tale accertamento si trovavano in dissesto o in </w:t>
      </w:r>
      <w:proofErr w:type="spellStart"/>
      <w:r>
        <w:rPr>
          <w:rFonts w:ascii="Bookman Old Style" w:hAnsi="Bookman Old Style"/>
        </w:rPr>
        <w:t>pre-dissesto</w:t>
      </w:r>
      <w:proofErr w:type="spellEnd"/>
      <w:r>
        <w:rPr>
          <w:rFonts w:ascii="Bookman Old Style" w:hAnsi="Bookman Old Style"/>
        </w:rPr>
        <w:t xml:space="preserve">. Ad un primo esame e considerando estensivamente la nozione di limitazione amministrativa, le sanzioni disapplicate per effetto della norma in questione sono: </w:t>
      </w:r>
    </w:p>
    <w:p w:rsidR="000C1038" w:rsidRDefault="000C1038" w:rsidP="000C1038">
      <w:pPr>
        <w:pStyle w:val="Paragrafoelenco"/>
        <w:numPr>
          <w:ilvl w:val="1"/>
          <w:numId w:val="14"/>
        </w:numPr>
        <w:spacing w:after="200" w:line="276" w:lineRule="auto"/>
        <w:rPr>
          <w:rFonts w:ascii="Bookman Old Style" w:hAnsi="Bookman Old Style"/>
        </w:rPr>
      </w:pPr>
      <w:r w:rsidRPr="00FC5A07">
        <w:rPr>
          <w:rFonts w:ascii="Bookman Old Style" w:hAnsi="Bookman Old Style"/>
        </w:rPr>
        <w:t xml:space="preserve">riduzione del fondo sperimentale di riequilibrio, </w:t>
      </w:r>
    </w:p>
    <w:p w:rsidR="000C1038" w:rsidRDefault="000C1038" w:rsidP="000C1038">
      <w:pPr>
        <w:pStyle w:val="Paragrafoelenco"/>
        <w:numPr>
          <w:ilvl w:val="1"/>
          <w:numId w:val="14"/>
        </w:numPr>
        <w:spacing w:after="200" w:line="276" w:lineRule="auto"/>
        <w:rPr>
          <w:rFonts w:ascii="Bookman Old Style" w:hAnsi="Bookman Old Style"/>
        </w:rPr>
      </w:pPr>
      <w:r w:rsidRPr="00FC5A07">
        <w:rPr>
          <w:rFonts w:ascii="Bookman Old Style" w:hAnsi="Bookman Old Style"/>
        </w:rPr>
        <w:t xml:space="preserve">limiti agli impegni di spesa corrente, </w:t>
      </w:r>
    </w:p>
    <w:p w:rsidR="000C1038" w:rsidRDefault="000C1038" w:rsidP="000C1038">
      <w:pPr>
        <w:pStyle w:val="Paragrafoelenco"/>
        <w:numPr>
          <w:ilvl w:val="1"/>
          <w:numId w:val="14"/>
        </w:numPr>
        <w:spacing w:after="200" w:line="276" w:lineRule="auto"/>
        <w:rPr>
          <w:rFonts w:ascii="Bookman Old Style" w:hAnsi="Bookman Old Style"/>
        </w:rPr>
      </w:pPr>
      <w:r w:rsidRPr="00FC5A07">
        <w:rPr>
          <w:rFonts w:ascii="Bookman Old Style" w:hAnsi="Bookman Old Style"/>
        </w:rPr>
        <w:t xml:space="preserve">divieto di indebitamento per gli investimenti, </w:t>
      </w:r>
    </w:p>
    <w:p w:rsidR="000C1038" w:rsidRDefault="000C1038" w:rsidP="000C1038">
      <w:pPr>
        <w:pStyle w:val="Paragrafoelenco"/>
        <w:numPr>
          <w:ilvl w:val="1"/>
          <w:numId w:val="14"/>
        </w:numPr>
        <w:spacing w:after="200" w:line="276" w:lineRule="auto"/>
        <w:rPr>
          <w:rFonts w:ascii="Bookman Old Style" w:hAnsi="Bookman Old Style"/>
        </w:rPr>
      </w:pPr>
      <w:r w:rsidRPr="00FC5A07">
        <w:rPr>
          <w:rFonts w:ascii="Bookman Old Style" w:hAnsi="Bookman Old Style"/>
        </w:rPr>
        <w:t xml:space="preserve">divieto di assunzione di personale, </w:t>
      </w:r>
    </w:p>
    <w:p w:rsidR="000C1038" w:rsidRDefault="000C1038" w:rsidP="000C1038">
      <w:pPr>
        <w:pStyle w:val="Paragrafoelenco"/>
        <w:numPr>
          <w:ilvl w:val="1"/>
          <w:numId w:val="14"/>
        </w:numPr>
        <w:spacing w:after="200" w:line="276" w:lineRule="auto"/>
        <w:rPr>
          <w:rFonts w:ascii="Bookman Old Style" w:hAnsi="Bookman Old Style"/>
        </w:rPr>
      </w:pPr>
      <w:r w:rsidRPr="00FC5A07">
        <w:rPr>
          <w:rFonts w:ascii="Bookman Old Style" w:hAnsi="Bookman Old Style"/>
        </w:rPr>
        <w:t xml:space="preserve">riduzione delle indennità di funzione, </w:t>
      </w:r>
    </w:p>
    <w:p w:rsidR="000C1038" w:rsidRDefault="000C1038" w:rsidP="000C1038">
      <w:pPr>
        <w:pStyle w:val="Paragrafoelenco"/>
        <w:numPr>
          <w:ilvl w:val="1"/>
          <w:numId w:val="14"/>
        </w:numPr>
        <w:spacing w:after="80" w:line="276" w:lineRule="auto"/>
        <w:ind w:left="1434" w:hanging="357"/>
        <w:rPr>
          <w:rFonts w:ascii="Bookman Old Style" w:hAnsi="Bookman Old Style"/>
        </w:rPr>
      </w:pPr>
      <w:r w:rsidRPr="00FC5A07">
        <w:rPr>
          <w:rFonts w:ascii="Bookman Old Style" w:hAnsi="Bookman Old Style"/>
        </w:rPr>
        <w:t>obbligo di versare entro 60 giorni l’importo corrispondente allo scostamento di bilancio registrato</w:t>
      </w:r>
      <w:r>
        <w:rPr>
          <w:rFonts w:ascii="Bookman Old Style" w:hAnsi="Bookman Old Style"/>
        </w:rPr>
        <w:t>.</w:t>
      </w:r>
    </w:p>
    <w:p w:rsidR="000C1038" w:rsidRPr="00A3541D" w:rsidRDefault="000C1038" w:rsidP="000C1038">
      <w:pPr>
        <w:spacing w:after="200"/>
        <w:ind w:firstLine="0"/>
        <w:rPr>
          <w:rFonts w:ascii="Bookman Old Style" w:hAnsi="Bookman Old Style"/>
          <w:b/>
        </w:rPr>
      </w:pPr>
      <w:r>
        <w:rPr>
          <w:rFonts w:ascii="Bookman Old Style" w:hAnsi="Bookman Old Style"/>
        </w:rPr>
        <w:t xml:space="preserve">Va segnalato che il </w:t>
      </w:r>
      <w:r w:rsidRPr="00A3541D">
        <w:rPr>
          <w:rFonts w:ascii="Bookman Old Style" w:hAnsi="Bookman Old Style"/>
          <w:b/>
        </w:rPr>
        <w:t>comma 830 sembra riproporre gli stessi contenuti del comma 828</w:t>
      </w:r>
      <w:r w:rsidRPr="00A3541D">
        <w:rPr>
          <w:rFonts w:ascii="Bookman Old Style" w:hAnsi="Bookman Old Style"/>
        </w:rPr>
        <w:t>, con riferimento limitato al</w:t>
      </w:r>
      <w:r>
        <w:rPr>
          <w:rFonts w:ascii="Bookman Old Style" w:hAnsi="Bookman Old Style"/>
        </w:rPr>
        <w:t xml:space="preserve">le violazioni del </w:t>
      </w:r>
      <w:r w:rsidRPr="00A3541D">
        <w:rPr>
          <w:rFonts w:ascii="Bookman Old Style" w:hAnsi="Bookman Old Style"/>
        </w:rPr>
        <w:t>saldo di competenza 2016 e non anche</w:t>
      </w:r>
      <w:r>
        <w:rPr>
          <w:rFonts w:ascii="Bookman Old Style" w:hAnsi="Bookman Old Style"/>
        </w:rPr>
        <w:t xml:space="preserve"> a quelle riguardanti il patto di stabilità relativo alle annualità fino al 2015. La norma appare quindi superflua in quanto già ricompresa nella precedente.</w:t>
      </w:r>
      <w:r w:rsidRPr="00A3541D">
        <w:rPr>
          <w:rFonts w:ascii="Bookman Old Style" w:hAnsi="Bookman Old Style"/>
        </w:rPr>
        <w:t xml:space="preserve"> </w:t>
      </w:r>
      <w:r w:rsidRPr="00A3541D">
        <w:rPr>
          <w:rFonts w:ascii="Bookman Old Style" w:hAnsi="Bookman Old Style"/>
          <w:b/>
        </w:rPr>
        <w:t xml:space="preserve"> </w:t>
      </w:r>
    </w:p>
    <w:p w:rsidR="000C1038" w:rsidRPr="00A3541D" w:rsidRDefault="000C1038" w:rsidP="000C1038">
      <w:pPr>
        <w:spacing w:after="80" w:line="276" w:lineRule="auto"/>
        <w:ind w:firstLine="0"/>
        <w:rPr>
          <w:rFonts w:ascii="Bookman Old Style" w:hAnsi="Bookman Old Style"/>
        </w:rPr>
      </w:pPr>
      <w:r w:rsidRPr="000C1038">
        <w:rPr>
          <w:rFonts w:ascii="Bookman Old Style" w:hAnsi="Bookman Old Style"/>
          <w:b/>
        </w:rPr>
        <w:t>Il comma 829 esclude l’applicazione delle sanzioni</w:t>
      </w:r>
      <w:r w:rsidRPr="00A3541D">
        <w:rPr>
          <w:rFonts w:ascii="Bookman Old Style" w:hAnsi="Bookman Old Style"/>
        </w:rPr>
        <w:t xml:space="preserve"> relative al mancato rispetto del saldo di competenza </w:t>
      </w:r>
      <w:r w:rsidRPr="000C1038">
        <w:rPr>
          <w:rFonts w:ascii="Bookman Old Style" w:hAnsi="Bookman Old Style"/>
          <w:b/>
        </w:rPr>
        <w:t>agli enti locali in stato di dissesto che hanno adottato la procedura semplificata</w:t>
      </w:r>
      <w:r w:rsidRPr="00A3541D">
        <w:rPr>
          <w:rFonts w:ascii="Bookman Old Style" w:hAnsi="Bookman Old Style"/>
        </w:rPr>
        <w:t xml:space="preserve"> di accertamento e liquidazione dei debiti di cui all’art. 258 del TUEL, nel caso in cui il mancato raggiungimento del saldo sia imputabile al pagamento dei debiti residui mediante utilizzo dell’avanzo accantonato.</w:t>
      </w:r>
    </w:p>
    <w:p w:rsidR="000C1038" w:rsidRDefault="000C1038" w:rsidP="000C1038">
      <w:pPr>
        <w:spacing w:after="80"/>
        <w:ind w:firstLine="0"/>
        <w:rPr>
          <w:rFonts w:ascii="Bookman Old Style" w:eastAsiaTheme="minorEastAsia" w:hAnsi="Bookman Old Style"/>
        </w:rPr>
      </w:pPr>
      <w:r w:rsidRPr="00F0323A">
        <w:rPr>
          <w:rFonts w:ascii="Bookman Old Style" w:eastAsiaTheme="minorEastAsia" w:hAnsi="Bookman Old Style"/>
        </w:rPr>
        <w:t xml:space="preserve">Il </w:t>
      </w:r>
      <w:r w:rsidRPr="008B36A5">
        <w:rPr>
          <w:rFonts w:ascii="Bookman Old Style" w:eastAsiaTheme="minorEastAsia" w:hAnsi="Bookman Old Style"/>
          <w:b/>
        </w:rPr>
        <w:t>comma 907</w:t>
      </w:r>
      <w:r>
        <w:rPr>
          <w:rFonts w:ascii="Bookman Old Style" w:eastAsiaTheme="minorEastAsia" w:hAnsi="Bookman Old Style"/>
        </w:rPr>
        <w:t xml:space="preserve"> </w:t>
      </w:r>
      <w:r w:rsidRPr="008B36A5">
        <w:rPr>
          <w:rFonts w:ascii="Bookman Old Style" w:eastAsiaTheme="minorEastAsia" w:hAnsi="Bookman Old Style"/>
          <w:b/>
        </w:rPr>
        <w:t>assegna un’anticipazione di somme per pagamenti in sofferenza</w:t>
      </w:r>
      <w:r w:rsidRPr="00F0323A">
        <w:rPr>
          <w:rFonts w:ascii="Bookman Old Style" w:eastAsiaTheme="minorEastAsia" w:hAnsi="Bookman Old Style"/>
        </w:rPr>
        <w:t xml:space="preserve"> </w:t>
      </w:r>
      <w:r w:rsidRPr="008B36A5">
        <w:rPr>
          <w:rFonts w:ascii="Bookman Old Style" w:eastAsiaTheme="minorEastAsia" w:hAnsi="Bookman Old Style"/>
          <w:b/>
        </w:rPr>
        <w:t>ai soli comuni che abbiano dichiarato lo stato di dissesto finanziario nel secondo semestre 2016</w:t>
      </w:r>
      <w:r w:rsidRPr="00F0323A">
        <w:rPr>
          <w:rFonts w:ascii="Bookman Old Style" w:eastAsiaTheme="minorEastAsia" w:hAnsi="Bookman Old Style"/>
        </w:rPr>
        <w:t xml:space="preserve">. Tali enti possono </w:t>
      </w:r>
      <w:r>
        <w:rPr>
          <w:rFonts w:ascii="Bookman Old Style" w:eastAsiaTheme="minorEastAsia" w:hAnsi="Bookman Old Style"/>
        </w:rPr>
        <w:t>richiedere</w:t>
      </w:r>
      <w:r w:rsidRPr="00F0323A">
        <w:rPr>
          <w:rFonts w:ascii="Bookman Old Style" w:eastAsiaTheme="minorEastAsia" w:hAnsi="Bookman Old Style"/>
        </w:rPr>
        <w:t xml:space="preserve">, entro il 31 gennaio 2019, una richiesta motivata al Ministero dell’interno per ottenere </w:t>
      </w:r>
      <w:bookmarkStart w:id="59" w:name="OLE_LINK16"/>
      <w:bookmarkStart w:id="60" w:name="OLE_LINK17"/>
      <w:bookmarkStart w:id="61" w:name="OLE_LINK18"/>
      <w:bookmarkStart w:id="62" w:name="OLE_LINK19"/>
      <w:r>
        <w:rPr>
          <w:rFonts w:ascii="Bookman Old Style" w:eastAsiaTheme="minorEastAsia" w:hAnsi="Bookman Old Style"/>
        </w:rPr>
        <w:t>l’</w:t>
      </w:r>
      <w:r w:rsidRPr="00F0323A">
        <w:rPr>
          <w:rFonts w:ascii="Bookman Old Style" w:eastAsiaTheme="minorEastAsia" w:hAnsi="Bookman Old Style"/>
        </w:rPr>
        <w:t>anticipazione di somme da destinare ai pagamenti in sofferenza</w:t>
      </w:r>
      <w:bookmarkEnd w:id="59"/>
      <w:bookmarkEnd w:id="60"/>
      <w:bookmarkEnd w:id="61"/>
      <w:bookmarkEnd w:id="62"/>
      <w:r w:rsidRPr="00F0323A">
        <w:rPr>
          <w:rFonts w:ascii="Bookman Old Style" w:eastAsiaTheme="minorEastAsia" w:hAnsi="Bookman Old Style"/>
        </w:rPr>
        <w:t xml:space="preserve">. </w:t>
      </w:r>
      <w:r>
        <w:rPr>
          <w:rFonts w:ascii="Bookman Old Style" w:eastAsiaTheme="minorEastAsia" w:hAnsi="Bookman Old Style"/>
        </w:rPr>
        <w:t xml:space="preserve">L’assegnazione </w:t>
      </w:r>
      <w:r w:rsidRPr="00F0323A">
        <w:rPr>
          <w:rFonts w:ascii="Bookman Old Style" w:eastAsiaTheme="minorEastAsia" w:hAnsi="Bookman Old Style"/>
        </w:rPr>
        <w:t xml:space="preserve">è effettuata entro il limite massimo complessivo di 20 milioni di </w:t>
      </w:r>
      <w:r>
        <w:rPr>
          <w:rFonts w:ascii="Bookman Old Style" w:eastAsiaTheme="minorEastAsia" w:hAnsi="Bookman Old Style"/>
        </w:rPr>
        <w:t xml:space="preserve">euro e di 300 euro per abitante e deve inoltre essere </w:t>
      </w:r>
      <w:r w:rsidRPr="00F0323A">
        <w:rPr>
          <w:rFonts w:ascii="Bookman Old Style" w:eastAsiaTheme="minorEastAsia" w:hAnsi="Bookman Old Style"/>
        </w:rPr>
        <w:t>restituit</w:t>
      </w:r>
      <w:r>
        <w:rPr>
          <w:rFonts w:ascii="Bookman Old Style" w:eastAsiaTheme="minorEastAsia" w:hAnsi="Bookman Old Style"/>
        </w:rPr>
        <w:t>a</w:t>
      </w:r>
      <w:r w:rsidRPr="00F0323A">
        <w:rPr>
          <w:rFonts w:ascii="Bookman Old Style" w:eastAsiaTheme="minorEastAsia" w:hAnsi="Bookman Old Style"/>
        </w:rPr>
        <w:t xml:space="preserve"> nei tre esercizi successivi, in parti uguali, entro il 30 settembre di ciascun anno. In caso di mancato versamento </w:t>
      </w:r>
      <w:r>
        <w:rPr>
          <w:rFonts w:ascii="Bookman Old Style" w:eastAsiaTheme="minorEastAsia" w:hAnsi="Bookman Old Style"/>
        </w:rPr>
        <w:t>entro tale termine</w:t>
      </w:r>
      <w:r w:rsidRPr="00F0323A">
        <w:rPr>
          <w:rFonts w:ascii="Bookman Old Style" w:eastAsiaTheme="minorEastAsia" w:hAnsi="Bookman Old Style"/>
        </w:rPr>
        <w:t>, l'Agenzia delle entrate provved</w:t>
      </w:r>
      <w:r>
        <w:rPr>
          <w:rFonts w:ascii="Bookman Old Style" w:eastAsiaTheme="minorEastAsia" w:hAnsi="Bookman Old Style"/>
        </w:rPr>
        <w:t>e</w:t>
      </w:r>
      <w:r w:rsidRPr="00F0323A">
        <w:rPr>
          <w:rFonts w:ascii="Bookman Old Style" w:eastAsiaTheme="minorEastAsia" w:hAnsi="Bookman Old Style"/>
        </w:rPr>
        <w:t xml:space="preserve"> al recupero nei confronti del comune inadempiente all'atto del pagamento allo stesso dell'imposta municipale propria (IMU). </w:t>
      </w:r>
      <w:r>
        <w:rPr>
          <w:rFonts w:ascii="Bookman Old Style" w:eastAsiaTheme="minorEastAsia" w:hAnsi="Bookman Old Style"/>
        </w:rPr>
        <w:t xml:space="preserve">Lo stesso comma 907 prevede anche che gli enti beneficiari, in caso di disavanzo, </w:t>
      </w:r>
      <w:r w:rsidRPr="0001301B">
        <w:rPr>
          <w:rFonts w:ascii="Bookman Old Style" w:eastAsiaTheme="minorEastAsia" w:hAnsi="Bookman Old Style"/>
        </w:rPr>
        <w:t xml:space="preserve">possono </w:t>
      </w:r>
      <w:r>
        <w:rPr>
          <w:rFonts w:ascii="Bookman Old Style" w:eastAsiaTheme="minorEastAsia" w:hAnsi="Bookman Old Style"/>
        </w:rPr>
        <w:t>“</w:t>
      </w:r>
      <w:r w:rsidRPr="0043027E">
        <w:rPr>
          <w:rFonts w:ascii="Bookman Old Style" w:eastAsiaTheme="minorEastAsia" w:hAnsi="Bookman Old Style"/>
          <w:i/>
        </w:rPr>
        <w:t>applicare al bilancio la quota del risultato di amministrazione accantonato nel fondo anticipazioni per il rimborso triennale dell'anticipazione</w:t>
      </w:r>
      <w:r>
        <w:rPr>
          <w:rFonts w:ascii="Bookman Old Style" w:eastAsiaTheme="minorEastAsia" w:hAnsi="Bookman Old Style"/>
        </w:rPr>
        <w:t xml:space="preserve">”. La </w:t>
      </w:r>
      <w:r w:rsidRPr="00F0323A">
        <w:rPr>
          <w:rFonts w:ascii="Bookman Old Style" w:eastAsiaTheme="minorEastAsia" w:hAnsi="Bookman Old Style"/>
        </w:rPr>
        <w:t xml:space="preserve">copertura finanziaria </w:t>
      </w:r>
      <w:r>
        <w:rPr>
          <w:rFonts w:ascii="Bookman Old Style" w:eastAsiaTheme="minorEastAsia" w:hAnsi="Bookman Old Style"/>
        </w:rPr>
        <w:t xml:space="preserve">della norma è assicurata dal </w:t>
      </w:r>
      <w:r w:rsidRPr="00F0323A">
        <w:rPr>
          <w:rFonts w:ascii="Bookman Old Style" w:eastAsiaTheme="minorEastAsia" w:hAnsi="Bookman Old Style"/>
        </w:rPr>
        <w:t>fondo di rotazione per assicurare la stabilità finanziaria degli enti locali, di cui all’articolo 243-ter del TUEL</w:t>
      </w:r>
      <w:r>
        <w:rPr>
          <w:rFonts w:ascii="Bookman Old Style" w:eastAsiaTheme="minorEastAsia" w:hAnsi="Bookman Old Style"/>
        </w:rPr>
        <w:t xml:space="preserve">. </w:t>
      </w:r>
    </w:p>
    <w:p w:rsidR="000C1038" w:rsidRPr="0043027E" w:rsidRDefault="000C1038" w:rsidP="000C1038">
      <w:pPr>
        <w:spacing w:after="80"/>
        <w:ind w:firstLine="0"/>
        <w:rPr>
          <w:rStyle w:val="Titolo1Carattere"/>
          <w:rFonts w:ascii="Bookman Old Style" w:eastAsia="Times New Roman" w:hAnsi="Bookman Old Style" w:cs="Times New Roman"/>
          <w:color w:val="auto"/>
          <w:sz w:val="22"/>
          <w:szCs w:val="20"/>
        </w:rPr>
      </w:pPr>
      <w:r w:rsidRPr="0043027E">
        <w:rPr>
          <w:rFonts w:ascii="Bookman Old Style" w:hAnsi="Bookman Old Style"/>
        </w:rPr>
        <w:t xml:space="preserve">Per effetto del </w:t>
      </w:r>
      <w:r w:rsidRPr="0043027E">
        <w:rPr>
          <w:rFonts w:ascii="Bookman Old Style" w:hAnsi="Bookman Old Style"/>
          <w:b/>
        </w:rPr>
        <w:t>comma 960, gli enti che chiedono di accedere alla procedura di riequilibrio finanziario</w:t>
      </w:r>
      <w:r>
        <w:rPr>
          <w:rFonts w:ascii="Bookman Old Style" w:hAnsi="Bookman Old Style"/>
          <w:b/>
        </w:rPr>
        <w:t xml:space="preserve"> pluriennale</w:t>
      </w:r>
      <w:r w:rsidRPr="0043027E">
        <w:rPr>
          <w:rFonts w:ascii="Bookman Old Style" w:hAnsi="Bookman Old Style"/>
          <w:b/>
        </w:rPr>
        <w:t xml:space="preserve"> (</w:t>
      </w:r>
      <w:proofErr w:type="spellStart"/>
      <w:r w:rsidRPr="0043027E">
        <w:rPr>
          <w:rFonts w:ascii="Bookman Old Style" w:hAnsi="Bookman Old Style"/>
          <w:b/>
        </w:rPr>
        <w:t>pre-dissesto</w:t>
      </w:r>
      <w:proofErr w:type="spellEnd"/>
      <w:r w:rsidRPr="0043027E">
        <w:rPr>
          <w:rFonts w:ascii="Bookman Old Style" w:hAnsi="Bookman Old Style"/>
          <w:b/>
        </w:rPr>
        <w:t>)</w:t>
      </w:r>
      <w:r w:rsidRPr="0043027E">
        <w:rPr>
          <w:rFonts w:ascii="Bookman Old Style" w:hAnsi="Bookman Old Style"/>
        </w:rPr>
        <w:t xml:space="preserve">, visti i tempi necessari per l’accoglimento o il diniego del piano di riequilibrio finanziario pluriennale da parte della Corte dei Conti, </w:t>
      </w:r>
      <w:r w:rsidRPr="0043027E">
        <w:rPr>
          <w:rFonts w:ascii="Bookman Old Style" w:hAnsi="Bookman Old Style"/>
          <w:b/>
        </w:rPr>
        <w:t>possono chiedere al Ministro dell’interno un’anticipazione a valere sul Fondo di rotazione pari al massimo al 50% dell’anticipazione massima concedibile</w:t>
      </w:r>
      <w:r w:rsidRPr="0043027E">
        <w:rPr>
          <w:rFonts w:ascii="Bookman Old Style" w:hAnsi="Bookman Old Style"/>
        </w:rPr>
        <w:t xml:space="preserve"> da destinare al pagamento dei debiti fuori bilancio nei confronti delle imprese nonché a transazioni e accordi con i creditori. Tale importo sarà riassorbit</w:t>
      </w:r>
      <w:r>
        <w:rPr>
          <w:rFonts w:ascii="Bookman Old Style" w:hAnsi="Bookman Old Style"/>
        </w:rPr>
        <w:t>o</w:t>
      </w:r>
      <w:r w:rsidRPr="0043027E">
        <w:rPr>
          <w:rFonts w:ascii="Bookman Old Style" w:hAnsi="Bookman Old Style"/>
        </w:rPr>
        <w:t xml:space="preserve"> in sede di concessione dell’anticipazione stessa a seguito dell’approvazione del piano di riequilibrio. In caso di diniego del piano di </w:t>
      </w:r>
      <w:r w:rsidRPr="000C1038">
        <w:rPr>
          <w:rFonts w:ascii="Bookman Old Style" w:hAnsi="Bookman Old Style"/>
        </w:rPr>
        <w:t xml:space="preserve">riequilibrio o in caso di mancata previsione nel predetto piano delle prescrizioni per l’accesso al Fondo di rotazione, le somme anticipate sono recuperate dal Ministero dell’interno </w:t>
      </w:r>
      <w:r w:rsidRPr="0043027E">
        <w:rPr>
          <w:rFonts w:ascii="Bookman Old Style" w:hAnsi="Bookman Old Style"/>
        </w:rPr>
        <w:t xml:space="preserve">a valere su qualunque assegnazione finanziaria dovuta dal Ministero stesso all’ente locale e, in caso di incapienza, tramite trattenuta effettuata dall’Agenzia delle entrate </w:t>
      </w:r>
      <w:r>
        <w:rPr>
          <w:rFonts w:ascii="Bookman Old Style" w:hAnsi="Bookman Old Style"/>
        </w:rPr>
        <w:t>sull’IMU spettante all’ente</w:t>
      </w:r>
      <w:r w:rsidRPr="0043027E">
        <w:rPr>
          <w:rFonts w:ascii="Bookman Old Style" w:hAnsi="Bookman Old Style"/>
        </w:rPr>
        <w:t>.</w:t>
      </w:r>
    </w:p>
    <w:p w:rsidR="000C1038" w:rsidRDefault="000C1038" w:rsidP="003F7C63">
      <w:pPr>
        <w:rPr>
          <w:rFonts w:eastAsiaTheme="minorHAnsi"/>
          <w:lang w:eastAsia="en-US"/>
        </w:rPr>
      </w:pPr>
    </w:p>
    <w:p w:rsidR="000C1038" w:rsidRDefault="000C1038" w:rsidP="003F7C63">
      <w:pPr>
        <w:rPr>
          <w:rFonts w:eastAsiaTheme="minorHAnsi"/>
          <w:lang w:eastAsia="en-US"/>
        </w:rPr>
      </w:pPr>
    </w:p>
    <w:p w:rsidR="00350856" w:rsidRPr="00350856" w:rsidRDefault="00350856" w:rsidP="00350856">
      <w:pPr>
        <w:pStyle w:val="Titolo1"/>
        <w:ind w:left="284" w:firstLine="0"/>
        <w:rPr>
          <w:rFonts w:ascii="Bookman Old Style" w:eastAsiaTheme="minorHAnsi" w:hAnsi="Bookman Old Style"/>
          <w:b/>
          <w:sz w:val="24"/>
          <w:szCs w:val="24"/>
          <w:lang w:eastAsia="en-US"/>
        </w:rPr>
      </w:pPr>
      <w:bookmarkStart w:id="63" w:name="_Toc533979327"/>
      <w:bookmarkStart w:id="64" w:name="_Toc534027983"/>
      <w:r w:rsidRPr="00350856">
        <w:rPr>
          <w:rFonts w:ascii="Bookman Old Style" w:eastAsiaTheme="minorHAnsi" w:hAnsi="Bookman Old Style"/>
          <w:b/>
          <w:sz w:val="24"/>
          <w:szCs w:val="24"/>
          <w:lang w:eastAsia="en-US"/>
        </w:rPr>
        <w:t>RISORSE E REGOLE PER INVESTIMENTI</w:t>
      </w:r>
      <w:bookmarkEnd w:id="63"/>
      <w:bookmarkEnd w:id="64"/>
    </w:p>
    <w:p w:rsidR="003F7C63" w:rsidRPr="003F7C63" w:rsidRDefault="003F7C63" w:rsidP="003F7C63">
      <w:pPr>
        <w:rPr>
          <w:rFonts w:eastAsiaTheme="minorHAnsi"/>
          <w:lang w:eastAsia="en-US"/>
        </w:rPr>
      </w:pPr>
    </w:p>
    <w:p w:rsidR="00E82A65" w:rsidRPr="00E82A65" w:rsidRDefault="00E82A65" w:rsidP="00E82A65">
      <w:pPr>
        <w:pStyle w:val="Titolo2"/>
        <w:ind w:firstLine="0"/>
        <w:rPr>
          <w:rFonts w:ascii="Bookman Old Style" w:eastAsiaTheme="minorEastAsia" w:hAnsi="Bookman Old Style"/>
          <w:b/>
          <w:i/>
          <w:sz w:val="22"/>
          <w:szCs w:val="22"/>
        </w:rPr>
      </w:pPr>
      <w:bookmarkStart w:id="65" w:name="_Toc533840289"/>
      <w:bookmarkStart w:id="66" w:name="_Toc533979328"/>
      <w:bookmarkStart w:id="67" w:name="_Toc534027984"/>
      <w:bookmarkEnd w:id="40"/>
      <w:r w:rsidRPr="00E82A65">
        <w:rPr>
          <w:rStyle w:val="Titolo1Carattere"/>
          <w:rFonts w:ascii="Bookman Old Style" w:hAnsi="Bookman Old Style"/>
          <w:b/>
          <w:sz w:val="22"/>
          <w:szCs w:val="22"/>
        </w:rPr>
        <w:t>Fondo pluriennale vincolato (FPV) per i lavori pubblici</w:t>
      </w:r>
      <w:bookmarkEnd w:id="65"/>
      <w:r w:rsidRPr="00E82A65">
        <w:rPr>
          <w:rStyle w:val="Titolo1Carattere"/>
          <w:rFonts w:ascii="Bookman Old Style" w:hAnsi="Bookman Old Style"/>
          <w:b/>
          <w:sz w:val="22"/>
          <w:szCs w:val="22"/>
        </w:rPr>
        <w:t xml:space="preserve"> </w:t>
      </w:r>
      <w:r w:rsidRPr="00E82A65">
        <w:rPr>
          <w:rFonts w:ascii="Bookman Old Style" w:hAnsi="Bookman Old Style"/>
          <w:b/>
          <w:sz w:val="22"/>
          <w:szCs w:val="22"/>
        </w:rPr>
        <w:t>(commi 909-911)</w:t>
      </w:r>
      <w:bookmarkEnd w:id="66"/>
      <w:bookmarkEnd w:id="67"/>
    </w:p>
    <w:p w:rsidR="00E82A65" w:rsidRDefault="00E82A65" w:rsidP="00E82A65">
      <w:pPr>
        <w:ind w:firstLine="0"/>
        <w:rPr>
          <w:rFonts w:ascii="Bookman Old Style" w:hAnsi="Bookman Old Style"/>
        </w:rPr>
      </w:pPr>
      <w:r>
        <w:rPr>
          <w:rFonts w:ascii="Bookman Old Style" w:eastAsiaTheme="minorEastAsia" w:hAnsi="Bookman Old Style"/>
        </w:rPr>
        <w:t xml:space="preserve">La modifica normativa in tema di FPV, attesa dai funzionari degli enti territoriali, si è resa necessaria a seguito delle modifiche apportate dal codice degli appalti (d.lgs. n. 50 del 2016) e recepisce le conclusioni di un sottogruppo di lavoro costituito presso la Commissione </w:t>
      </w:r>
      <w:proofErr w:type="spellStart"/>
      <w:r>
        <w:rPr>
          <w:rFonts w:ascii="Bookman Old Style" w:eastAsiaTheme="minorEastAsia" w:hAnsi="Bookman Old Style"/>
        </w:rPr>
        <w:t>Arconet</w:t>
      </w:r>
      <w:proofErr w:type="spellEnd"/>
      <w:r>
        <w:rPr>
          <w:rFonts w:ascii="Bookman Old Style" w:eastAsiaTheme="minorEastAsia" w:hAnsi="Bookman Old Style"/>
        </w:rPr>
        <w:t xml:space="preserve"> incaricato di formulare </w:t>
      </w:r>
      <w:r>
        <w:rPr>
          <w:rFonts w:ascii="Bookman Old Style" w:hAnsi="Bookman Old Style"/>
        </w:rPr>
        <w:t>integrazioni e correzioni all’allegato 4/2 (principio applicato della contabilità finanziaria) del decreto legislativo n. 118/2011. La natura delle proposte necessita di una modifica normativa, sulla cui base potrà essere emanato il decreto ministeriale di variazione del principio.</w:t>
      </w:r>
    </w:p>
    <w:p w:rsidR="00E82A65" w:rsidRDefault="00E82A65" w:rsidP="00E82A65">
      <w:pPr>
        <w:ind w:firstLine="0"/>
        <w:rPr>
          <w:rFonts w:ascii="Bookman Old Style" w:hAnsi="Bookman Old Style"/>
        </w:rPr>
      </w:pPr>
      <w:r>
        <w:rPr>
          <w:rFonts w:ascii="Bookman Old Style" w:hAnsi="Bookman Old Style"/>
        </w:rPr>
        <w:t xml:space="preserve">I </w:t>
      </w:r>
      <w:r w:rsidRPr="00E82A65">
        <w:rPr>
          <w:rFonts w:ascii="Bookman Old Style" w:hAnsi="Bookman Old Style"/>
          <w:b/>
        </w:rPr>
        <w:t>commi 909-911</w:t>
      </w:r>
      <w:r>
        <w:rPr>
          <w:rFonts w:ascii="Bookman Old Style" w:hAnsi="Bookman Old Style"/>
        </w:rPr>
        <w:t xml:space="preserve"> disciplinano tali modifiche. Nello specifico, </w:t>
      </w:r>
      <w:r w:rsidRPr="00E82A65">
        <w:rPr>
          <w:rFonts w:ascii="Bookman Old Style" w:hAnsi="Bookman Old Style"/>
          <w:b/>
        </w:rPr>
        <w:t>i commi 909 e 910</w:t>
      </w:r>
      <w:r>
        <w:rPr>
          <w:rFonts w:ascii="Bookman Old Style" w:hAnsi="Bookman Old Style"/>
        </w:rPr>
        <w:t xml:space="preserve"> modificano, rispettivamente, il decreto istitutivo dell’armonizzazione contabile (art. 56 comma 4 del d. </w:t>
      </w:r>
      <w:proofErr w:type="spellStart"/>
      <w:r>
        <w:rPr>
          <w:rFonts w:ascii="Bookman Old Style" w:hAnsi="Bookman Old Style"/>
        </w:rPr>
        <w:t>lgs</w:t>
      </w:r>
      <w:proofErr w:type="spellEnd"/>
      <w:r>
        <w:rPr>
          <w:rFonts w:ascii="Bookman Old Style" w:hAnsi="Bookman Old Style"/>
        </w:rPr>
        <w:t xml:space="preserve">. 118 del 2011) e l’art. 183, comma 3 del TUEL, prevedendo che </w:t>
      </w:r>
      <w:r w:rsidRPr="002E21F7">
        <w:rPr>
          <w:rFonts w:ascii="Bookman Old Style" w:hAnsi="Bookman Old Style"/>
        </w:rPr>
        <w:t xml:space="preserve">le economie </w:t>
      </w:r>
      <w:r>
        <w:rPr>
          <w:rFonts w:ascii="Bookman Old Style" w:hAnsi="Bookman Old Style"/>
        </w:rPr>
        <w:t>del</w:t>
      </w:r>
      <w:r w:rsidRPr="002E21F7">
        <w:rPr>
          <w:rFonts w:ascii="Bookman Old Style" w:hAnsi="Bookman Old Style"/>
        </w:rPr>
        <w:t>le spese di investimento per lavori pubblici concorrono alla determinazione del fondo pluriennal</w:t>
      </w:r>
      <w:r>
        <w:rPr>
          <w:rFonts w:ascii="Bookman Old Style" w:hAnsi="Bookman Old Style"/>
        </w:rPr>
        <w:t xml:space="preserve">e secondo le modalità definite con decreto interministeriale di modifica dei principi contabili, da adottarsi entro il </w:t>
      </w:r>
      <w:r w:rsidRPr="002E21F7">
        <w:rPr>
          <w:rFonts w:ascii="Bookman Old Style" w:hAnsi="Bookman Old Style"/>
        </w:rPr>
        <w:t>30 aprile 2019</w:t>
      </w:r>
      <w:r>
        <w:rPr>
          <w:rFonts w:ascii="Bookman Old Style" w:hAnsi="Bookman Old Style"/>
        </w:rPr>
        <w:t>,</w:t>
      </w:r>
      <w:r w:rsidRPr="002E21F7">
        <w:rPr>
          <w:rFonts w:ascii="Bookman Old Style" w:hAnsi="Bookman Old Style"/>
        </w:rPr>
        <w:t xml:space="preserve"> su proposta della Commissione </w:t>
      </w:r>
      <w:proofErr w:type="spellStart"/>
      <w:r>
        <w:rPr>
          <w:rFonts w:ascii="Bookman Old Style" w:hAnsi="Bookman Old Style"/>
        </w:rPr>
        <w:t>Arconet</w:t>
      </w:r>
      <w:proofErr w:type="spellEnd"/>
      <w:r w:rsidRPr="00B94AD9">
        <w:rPr>
          <w:rFonts w:ascii="Bookman Old Style" w:hAnsi="Bookman Old Style"/>
        </w:rPr>
        <w:t>.</w:t>
      </w:r>
      <w:r>
        <w:rPr>
          <w:rFonts w:ascii="Bookman Old Style" w:hAnsi="Bookman Old Style"/>
        </w:rPr>
        <w:t xml:space="preserve"> Il </w:t>
      </w:r>
      <w:r w:rsidRPr="00E82A65">
        <w:rPr>
          <w:rFonts w:ascii="Bookman Old Style" w:hAnsi="Bookman Old Style"/>
          <w:b/>
        </w:rPr>
        <w:t>comma 911</w:t>
      </w:r>
      <w:r>
        <w:rPr>
          <w:rFonts w:ascii="Bookman Old Style" w:hAnsi="Bookman Old Style"/>
        </w:rPr>
        <w:t xml:space="preserve"> </w:t>
      </w:r>
      <w:r w:rsidRPr="00EF7301">
        <w:rPr>
          <w:rFonts w:ascii="Bookman Old Style" w:hAnsi="Bookman Old Style"/>
        </w:rPr>
        <w:t>modifica il comma 1-</w:t>
      </w:r>
      <w:r w:rsidRPr="00E82A65">
        <w:rPr>
          <w:rFonts w:ascii="Bookman Old Style" w:hAnsi="Bookman Old Style"/>
          <w:i/>
        </w:rPr>
        <w:t>ter</w:t>
      </w:r>
      <w:r w:rsidRPr="00EF7301">
        <w:rPr>
          <w:rFonts w:ascii="Bookman Old Style" w:hAnsi="Bookman Old Style"/>
        </w:rPr>
        <w:t xml:space="preserve"> dell’articolo 200 del TUEL, prevede</w:t>
      </w:r>
      <w:r w:rsidR="00F967FE">
        <w:rPr>
          <w:rFonts w:ascii="Bookman Old Style" w:hAnsi="Bookman Old Style"/>
        </w:rPr>
        <w:t>ndo</w:t>
      </w:r>
      <w:r w:rsidRPr="00EF7301">
        <w:rPr>
          <w:rFonts w:ascii="Bookman Old Style" w:hAnsi="Bookman Old Style"/>
        </w:rPr>
        <w:t xml:space="preserve"> che per l'attività di investimento che comporta impegni di spesa </w:t>
      </w:r>
      <w:r w:rsidR="00F967FE">
        <w:rPr>
          <w:rFonts w:ascii="Bookman Old Style" w:hAnsi="Bookman Old Style"/>
        </w:rPr>
        <w:t xml:space="preserve">in </w:t>
      </w:r>
      <w:r w:rsidRPr="00EF7301">
        <w:rPr>
          <w:rFonts w:ascii="Bookman Old Style" w:hAnsi="Bookman Old Style"/>
        </w:rPr>
        <w:t xml:space="preserve">scadenza </w:t>
      </w:r>
      <w:r w:rsidR="00F967FE">
        <w:rPr>
          <w:rFonts w:ascii="Bookman Old Style" w:hAnsi="Bookman Old Style"/>
        </w:rPr>
        <w:t xml:space="preserve">su </w:t>
      </w:r>
      <w:r w:rsidRPr="00EF7301">
        <w:rPr>
          <w:rFonts w:ascii="Bookman Old Style" w:hAnsi="Bookman Old Style"/>
        </w:rPr>
        <w:t xml:space="preserve">più esercizi finanziari, deve essere dato specificamente atto, al momento dell'attivazione del primo impegno, di aver predisposto la copertura finanziaria per l'effettuazione della complessiva spesa dell'investimento, anche se la forma di copertura è stata già indicata nell'elenco annuale del programma triennale dei lavori pubblici previsto dall’articolo 21 del </w:t>
      </w:r>
      <w:r w:rsidR="00F967FE">
        <w:rPr>
          <w:rFonts w:ascii="Bookman Old Style" w:hAnsi="Bookman Old Style"/>
        </w:rPr>
        <w:t xml:space="preserve">d.lgs. n. 50 del 2016 </w:t>
      </w:r>
      <w:r>
        <w:rPr>
          <w:rFonts w:ascii="Bookman Old Style" w:hAnsi="Bookman Old Style"/>
        </w:rPr>
        <w:t>(attualmente si fa invece</w:t>
      </w:r>
      <w:r w:rsidRPr="00EF7301">
        <w:rPr>
          <w:rFonts w:ascii="Bookman Old Style" w:hAnsi="Bookman Old Style"/>
        </w:rPr>
        <w:t xml:space="preserve"> riferimento al piano delle opere pubbliche di cui all'art. 128 del decreto legislativo n. 163 del 2006).  </w:t>
      </w:r>
    </w:p>
    <w:p w:rsidR="002626DD" w:rsidRDefault="002626DD" w:rsidP="00E82A65">
      <w:pPr>
        <w:ind w:firstLine="0"/>
        <w:rPr>
          <w:rFonts w:ascii="Bookman Old Style" w:hAnsi="Bookman Old Style"/>
        </w:rPr>
      </w:pPr>
    </w:p>
    <w:p w:rsidR="002626DD" w:rsidRPr="002626DD" w:rsidRDefault="002626DD" w:rsidP="002626DD">
      <w:pPr>
        <w:pStyle w:val="Titolo2"/>
        <w:ind w:firstLine="0"/>
        <w:rPr>
          <w:rStyle w:val="Titolo1Carattere"/>
          <w:rFonts w:ascii="Bookman Old Style" w:hAnsi="Bookman Old Style"/>
          <w:b/>
          <w:sz w:val="22"/>
          <w:szCs w:val="22"/>
        </w:rPr>
      </w:pPr>
      <w:bookmarkStart w:id="68" w:name="_Toc533979329"/>
      <w:bookmarkStart w:id="69" w:name="_Toc534027985"/>
      <w:r>
        <w:rPr>
          <w:rStyle w:val="Titolo1Carattere"/>
          <w:rFonts w:ascii="Bookman Old Style" w:hAnsi="Bookman Old Style"/>
          <w:b/>
          <w:sz w:val="22"/>
          <w:szCs w:val="22"/>
        </w:rPr>
        <w:t>M</w:t>
      </w:r>
      <w:r w:rsidRPr="002626DD">
        <w:rPr>
          <w:rStyle w:val="Titolo1Carattere"/>
          <w:rFonts w:ascii="Bookman Old Style" w:hAnsi="Bookman Old Style"/>
          <w:b/>
          <w:sz w:val="22"/>
          <w:szCs w:val="22"/>
        </w:rPr>
        <w:t>odifica importi affidamenti sotto soglia</w:t>
      </w:r>
      <w:bookmarkEnd w:id="68"/>
      <w:bookmarkEnd w:id="69"/>
    </w:p>
    <w:p w:rsidR="002626DD" w:rsidRDefault="002626DD" w:rsidP="002626DD">
      <w:pPr>
        <w:ind w:firstLine="0"/>
        <w:rPr>
          <w:rFonts w:ascii="Bookman Old Style" w:hAnsi="Bookman Old Style"/>
        </w:rPr>
      </w:pPr>
      <w:r>
        <w:rPr>
          <w:rFonts w:ascii="Bookman Old Style" w:hAnsi="Bookman Old Style"/>
        </w:rPr>
        <w:t xml:space="preserve">Il </w:t>
      </w:r>
      <w:r w:rsidRPr="002626DD">
        <w:rPr>
          <w:rFonts w:ascii="Bookman Old Style" w:hAnsi="Bookman Old Style"/>
          <w:b/>
        </w:rPr>
        <w:t>comma 912</w:t>
      </w:r>
      <w:r>
        <w:rPr>
          <w:rFonts w:ascii="Bookman Old Style" w:hAnsi="Bookman Old Style"/>
        </w:rPr>
        <w:t xml:space="preserve"> </w:t>
      </w:r>
      <w:r w:rsidRPr="00B274A5">
        <w:rPr>
          <w:rFonts w:ascii="Bookman Old Style" w:hAnsi="Bookman Old Style"/>
        </w:rPr>
        <w:t xml:space="preserve">introduce, nelle more della revisione del codice dei contratti, </w:t>
      </w:r>
      <w:r w:rsidR="00C74185" w:rsidRPr="00F94A61">
        <w:rPr>
          <w:rFonts w:ascii="Bookman Old Style" w:hAnsi="Bookman Old Style"/>
          <w:b/>
        </w:rPr>
        <w:t>fino al 31 dicembre 2019</w:t>
      </w:r>
      <w:r w:rsidR="00C74185">
        <w:rPr>
          <w:rFonts w:ascii="Bookman Old Style" w:hAnsi="Bookman Old Style"/>
        </w:rPr>
        <w:t xml:space="preserve"> </w:t>
      </w:r>
      <w:r w:rsidRPr="00B274A5">
        <w:rPr>
          <w:rFonts w:ascii="Bookman Old Style" w:hAnsi="Bookman Old Style"/>
        </w:rPr>
        <w:t>una deroga alla disciplina vigente in materia di affidamenti di appalti di lavori di importo inferiore alla soglia europea: per importi pari o superiori  a 40 mila euro e sino a 150 mila euro si può procedere con affidamento diretto previa consultazione se esistenti di tre operatori economici; per importi pari o superiori a 150 mila euro e inferiori a 350 mila euro mediante procedura negoziata previa consultazione sempre ove esistenti di almeno 10 operatori economici.</w:t>
      </w:r>
    </w:p>
    <w:p w:rsidR="002626DD" w:rsidRPr="00EF7301" w:rsidRDefault="002626DD" w:rsidP="00E82A65">
      <w:pPr>
        <w:ind w:firstLine="0"/>
        <w:rPr>
          <w:rFonts w:ascii="Bookman Old Style" w:hAnsi="Bookman Old Style"/>
        </w:rPr>
      </w:pPr>
    </w:p>
    <w:p w:rsidR="00DC3430" w:rsidRDefault="00DC3430" w:rsidP="002626DD">
      <w:pPr>
        <w:ind w:firstLine="0"/>
        <w:rPr>
          <w:rFonts w:ascii="Bookman Old Style" w:hAnsi="Bookman Old Style"/>
        </w:rPr>
      </w:pPr>
      <w:bookmarkStart w:id="70" w:name="_Toc533844912"/>
      <w:bookmarkStart w:id="71" w:name="_Toc533979330"/>
    </w:p>
    <w:p w:rsidR="00DC3430" w:rsidRPr="006537DF" w:rsidRDefault="00DC3430" w:rsidP="00DC3430">
      <w:pPr>
        <w:pStyle w:val="Titolo2"/>
        <w:ind w:firstLine="0"/>
        <w:rPr>
          <w:rFonts w:ascii="Bookman Old Style" w:hAnsi="Bookman Old Style"/>
          <w:b/>
          <w:sz w:val="22"/>
          <w:szCs w:val="22"/>
        </w:rPr>
      </w:pPr>
      <w:bookmarkStart w:id="72" w:name="_Toc534027986"/>
      <w:r>
        <w:rPr>
          <w:rFonts w:ascii="Bookman Old Style" w:hAnsi="Bookman Old Style"/>
          <w:b/>
          <w:sz w:val="22"/>
          <w:szCs w:val="22"/>
        </w:rPr>
        <w:t>Fondo investimenti amministrazioni centrali</w:t>
      </w:r>
      <w:bookmarkEnd w:id="72"/>
    </w:p>
    <w:p w:rsidR="00DC3430" w:rsidRPr="00DC3430" w:rsidRDefault="00DC3430" w:rsidP="009E260C">
      <w:pPr>
        <w:spacing w:after="80"/>
        <w:ind w:firstLine="0"/>
        <w:rPr>
          <w:rFonts w:ascii="Bookman Old Style" w:hAnsi="Bookman Old Style"/>
        </w:rPr>
      </w:pPr>
      <w:r w:rsidRPr="00DC3430">
        <w:rPr>
          <w:rFonts w:ascii="Bookman Old Style" w:hAnsi="Bookman Old Style"/>
        </w:rPr>
        <w:t xml:space="preserve">I </w:t>
      </w:r>
      <w:r w:rsidRPr="00DC3430">
        <w:rPr>
          <w:rFonts w:ascii="Bookman Old Style" w:hAnsi="Bookman Old Style"/>
          <w:b/>
        </w:rPr>
        <w:t>commi 95-96 e 98</w:t>
      </w:r>
      <w:r w:rsidRPr="00DC3430">
        <w:rPr>
          <w:rFonts w:ascii="Bookman Old Style" w:hAnsi="Bookman Old Style"/>
        </w:rPr>
        <w:t xml:space="preserve"> prevedono un fondo investimento pluriennale 2019-2033 a favore delle amministrazioni centrali da destinare, in base alle </w:t>
      </w:r>
      <w:r>
        <w:rPr>
          <w:rFonts w:ascii="Bookman Old Style" w:hAnsi="Bookman Old Style"/>
        </w:rPr>
        <w:t>pr</w:t>
      </w:r>
      <w:r w:rsidRPr="00DC3430">
        <w:rPr>
          <w:rFonts w:ascii="Bookman Old Style" w:hAnsi="Bookman Old Style"/>
        </w:rPr>
        <w:t xml:space="preserve">evisioni del </w:t>
      </w:r>
      <w:r w:rsidRPr="00DC3430">
        <w:rPr>
          <w:rFonts w:ascii="Bookman Old Style" w:hAnsi="Bookman Old Style"/>
          <w:b/>
        </w:rPr>
        <w:t>comma 98</w:t>
      </w:r>
      <w:r>
        <w:rPr>
          <w:rFonts w:ascii="Bookman Old Style" w:hAnsi="Bookman Old Style"/>
        </w:rPr>
        <w:t>,</w:t>
      </w:r>
      <w:r w:rsidRPr="00DC3430">
        <w:rPr>
          <w:rFonts w:ascii="Bookman Old Style" w:hAnsi="Bookman Old Style"/>
        </w:rPr>
        <w:t xml:space="preserve"> con DPCM su proposta del Ministro dell’Economia di concerto con i Ministeri interessati a programmi settoriali presentati dalle Amministrazioni centrali. I </w:t>
      </w:r>
      <w:r>
        <w:rPr>
          <w:rFonts w:ascii="Bookman Old Style" w:hAnsi="Bookman Old Style"/>
        </w:rPr>
        <w:t xml:space="preserve">decreti </w:t>
      </w:r>
      <w:r w:rsidRPr="00DC3430">
        <w:rPr>
          <w:rFonts w:ascii="Bookman Old Style" w:hAnsi="Bookman Old Style"/>
        </w:rPr>
        <w:t>di riparto sono adottati entro il 31 gennaio 2019. Gli sc</w:t>
      </w:r>
      <w:r>
        <w:rPr>
          <w:rFonts w:ascii="Bookman Old Style" w:hAnsi="Bookman Old Style"/>
        </w:rPr>
        <w:t>h</w:t>
      </w:r>
      <w:r w:rsidRPr="00DC3430">
        <w:rPr>
          <w:rFonts w:ascii="Bookman Old Style" w:hAnsi="Bookman Old Style"/>
        </w:rPr>
        <w:t xml:space="preserve">emi dei decreti sono trasmessi alle Commissioni parlamentari competenti per materia  che esprimono il proprio parere entro 30 </w:t>
      </w:r>
      <w:r>
        <w:rPr>
          <w:rFonts w:ascii="Bookman Old Style" w:hAnsi="Bookman Old Style"/>
        </w:rPr>
        <w:t>giorni</w:t>
      </w:r>
      <w:r w:rsidRPr="00DC3430">
        <w:rPr>
          <w:rFonts w:ascii="Bookman Old Style" w:hAnsi="Bookman Old Style"/>
        </w:rPr>
        <w:t>.</w:t>
      </w:r>
    </w:p>
    <w:p w:rsidR="00DC3430" w:rsidRPr="00DC3430" w:rsidRDefault="009E260C" w:rsidP="009E260C">
      <w:pPr>
        <w:spacing w:after="80"/>
        <w:ind w:firstLine="0"/>
        <w:rPr>
          <w:rFonts w:ascii="Bookman Old Style" w:hAnsi="Bookman Old Style"/>
        </w:rPr>
      </w:pPr>
      <w:r w:rsidRPr="006F13EE">
        <w:rPr>
          <w:rFonts w:ascii="Bookman Old Style" w:hAnsi="Bookman Old Style"/>
        </w:rPr>
        <w:t>Risulta</w:t>
      </w:r>
      <w:r w:rsidR="00DC3430" w:rsidRPr="006F13EE">
        <w:rPr>
          <w:rFonts w:ascii="Bookman Old Style" w:hAnsi="Bookman Old Style"/>
        </w:rPr>
        <w:t xml:space="preserve"> opportuno </w:t>
      </w:r>
      <w:r w:rsidRPr="006F13EE">
        <w:rPr>
          <w:rFonts w:ascii="Bookman Old Style" w:hAnsi="Bookman Old Style"/>
        </w:rPr>
        <w:t xml:space="preserve">che siano considerate proposte di </w:t>
      </w:r>
      <w:r w:rsidR="00DC3430" w:rsidRPr="006F13EE">
        <w:rPr>
          <w:rFonts w:ascii="Bookman Old Style" w:hAnsi="Bookman Old Style"/>
        </w:rPr>
        <w:t xml:space="preserve">programmi settoriali </w:t>
      </w:r>
      <w:r w:rsidRPr="006F13EE">
        <w:rPr>
          <w:rFonts w:ascii="Bookman Old Style" w:hAnsi="Bookman Old Style"/>
        </w:rPr>
        <w:t xml:space="preserve">in grado di coinvolgere i </w:t>
      </w:r>
      <w:r w:rsidR="00DC3430" w:rsidRPr="006F13EE">
        <w:rPr>
          <w:rFonts w:ascii="Bookman Old Style" w:hAnsi="Bookman Old Style"/>
        </w:rPr>
        <w:t>Comuni</w:t>
      </w:r>
      <w:r w:rsidRPr="006F13EE">
        <w:rPr>
          <w:rFonts w:ascii="Bookman Old Style" w:hAnsi="Bookman Old Style"/>
        </w:rPr>
        <w:t>,</w:t>
      </w:r>
      <w:r w:rsidR="00DC3430" w:rsidRPr="006F13EE">
        <w:rPr>
          <w:rFonts w:ascii="Bookman Old Style" w:hAnsi="Bookman Old Style"/>
        </w:rPr>
        <w:t xml:space="preserve"> a partire dal finanziamento della messa in sicurezza delle opere  che richiedono intervento prioritario, tenuto conto del monitoraggio effettuato </w:t>
      </w:r>
      <w:r w:rsidRPr="006F13EE">
        <w:rPr>
          <w:rFonts w:ascii="Bookman Old Style" w:hAnsi="Bookman Old Style"/>
        </w:rPr>
        <w:t xml:space="preserve">nei mesi scorsi </w:t>
      </w:r>
      <w:r w:rsidR="00DC3430" w:rsidRPr="006F13EE">
        <w:rPr>
          <w:rFonts w:ascii="Bookman Old Style" w:hAnsi="Bookman Old Style"/>
        </w:rPr>
        <w:t>dai Provveditorati interregionali su richiesta del MIT</w:t>
      </w:r>
      <w:r w:rsidRPr="006F13EE">
        <w:rPr>
          <w:rFonts w:ascii="Bookman Old Style" w:hAnsi="Bookman Old Style"/>
        </w:rPr>
        <w:t>, in base al decreto-legge che seguì al crollo del Ponte Morandi a Genova</w:t>
      </w:r>
      <w:r w:rsidR="00DC3430" w:rsidRPr="006F13EE">
        <w:rPr>
          <w:rFonts w:ascii="Bookman Old Style" w:hAnsi="Bookman Old Style"/>
        </w:rPr>
        <w:t>.</w:t>
      </w:r>
    </w:p>
    <w:p w:rsidR="002626DD" w:rsidRPr="00DC3430" w:rsidRDefault="002626DD" w:rsidP="009E260C">
      <w:pPr>
        <w:spacing w:after="80"/>
        <w:ind w:firstLine="0"/>
        <w:rPr>
          <w:rFonts w:ascii="Bookman Old Style" w:hAnsi="Bookman Old Style"/>
        </w:rPr>
      </w:pPr>
    </w:p>
    <w:p w:rsidR="00131209" w:rsidRDefault="00131209" w:rsidP="005A74EF">
      <w:pPr>
        <w:pStyle w:val="Titolo2"/>
        <w:ind w:firstLine="0"/>
        <w:rPr>
          <w:rFonts w:ascii="Bookman Old Style" w:hAnsi="Bookman Old Style"/>
          <w:b/>
          <w:sz w:val="22"/>
          <w:szCs w:val="22"/>
        </w:rPr>
      </w:pPr>
      <w:bookmarkStart w:id="73" w:name="_Toc534027987"/>
      <w:r w:rsidRPr="00714A95">
        <w:rPr>
          <w:rFonts w:ascii="Bookman Old Style" w:hAnsi="Bookman Old Style"/>
          <w:b/>
          <w:sz w:val="22"/>
          <w:szCs w:val="22"/>
        </w:rPr>
        <w:t>Fondo per gli investimenti degli enti territoriali</w:t>
      </w:r>
      <w:bookmarkEnd w:id="70"/>
      <w:bookmarkEnd w:id="71"/>
      <w:bookmarkEnd w:id="73"/>
      <w:r w:rsidR="008B7A99">
        <w:rPr>
          <w:rFonts w:ascii="Bookman Old Style" w:hAnsi="Bookman Old Style"/>
          <w:b/>
          <w:sz w:val="22"/>
          <w:szCs w:val="22"/>
        </w:rPr>
        <w:t xml:space="preserve"> </w:t>
      </w:r>
    </w:p>
    <w:p w:rsidR="00C45032" w:rsidRDefault="00E46B68" w:rsidP="00C45032">
      <w:pPr>
        <w:ind w:firstLine="0"/>
        <w:rPr>
          <w:rFonts w:ascii="Bookman Old Style" w:hAnsi="Bookman Old Style"/>
        </w:rPr>
      </w:pPr>
      <w:r>
        <w:rPr>
          <w:rFonts w:ascii="Bookman Old Style" w:hAnsi="Bookman Old Style"/>
        </w:rPr>
        <w:t xml:space="preserve">I </w:t>
      </w:r>
      <w:r w:rsidRPr="00C45032">
        <w:rPr>
          <w:rFonts w:ascii="Bookman Old Style" w:hAnsi="Bookman Old Style"/>
          <w:b/>
        </w:rPr>
        <w:t>commi 122 e 123</w:t>
      </w:r>
      <w:r>
        <w:rPr>
          <w:rFonts w:ascii="Bookman Old Style" w:hAnsi="Bookman Old Style"/>
        </w:rPr>
        <w:t xml:space="preserve"> </w:t>
      </w:r>
      <w:r w:rsidR="00131209" w:rsidRPr="00E23FBC">
        <w:rPr>
          <w:rFonts w:ascii="Bookman Old Style" w:hAnsi="Bookman Old Style"/>
        </w:rPr>
        <w:t>istitu</w:t>
      </w:r>
      <w:r>
        <w:rPr>
          <w:rFonts w:ascii="Bookman Old Style" w:hAnsi="Bookman Old Style"/>
        </w:rPr>
        <w:t xml:space="preserve">iscono </w:t>
      </w:r>
      <w:r w:rsidR="00131209" w:rsidRPr="00E23FBC">
        <w:rPr>
          <w:rFonts w:ascii="Bookman Old Style" w:hAnsi="Bookman Old Style"/>
        </w:rPr>
        <w:t xml:space="preserve">un destinato </w:t>
      </w:r>
      <w:r>
        <w:rPr>
          <w:rFonts w:ascii="Bookman Old Style" w:hAnsi="Bookman Old Style"/>
        </w:rPr>
        <w:t xml:space="preserve">a diverse finalità connesse agli investimenti degli enti territoriali (comprese le Regioni). La dotazione del fondo è di </w:t>
      </w:r>
      <w:r w:rsidR="00C45032" w:rsidRPr="00C45032">
        <w:rPr>
          <w:rFonts w:ascii="Bookman Old Style" w:hAnsi="Bookman Old Style"/>
        </w:rPr>
        <w:t xml:space="preserve">2,78 miliardi di euro per il 2019, 3,18 </w:t>
      </w:r>
      <w:proofErr w:type="spellStart"/>
      <w:r w:rsidR="00C45032" w:rsidRPr="00C45032">
        <w:rPr>
          <w:rFonts w:ascii="Bookman Old Style" w:hAnsi="Bookman Old Style"/>
        </w:rPr>
        <w:t>mld</w:t>
      </w:r>
      <w:proofErr w:type="spellEnd"/>
      <w:r w:rsidR="00C45032" w:rsidRPr="00C45032">
        <w:rPr>
          <w:rFonts w:ascii="Bookman Old Style" w:hAnsi="Bookman Old Style"/>
        </w:rPr>
        <w:t xml:space="preserve">. per il 2020, 1,26 </w:t>
      </w:r>
      <w:proofErr w:type="spellStart"/>
      <w:r w:rsidR="00C45032" w:rsidRPr="00C45032">
        <w:rPr>
          <w:rFonts w:ascii="Bookman Old Style" w:hAnsi="Bookman Old Style"/>
        </w:rPr>
        <w:t>mld</w:t>
      </w:r>
      <w:proofErr w:type="spellEnd"/>
      <w:r w:rsidR="00C45032" w:rsidRPr="00C45032">
        <w:rPr>
          <w:rFonts w:ascii="Bookman Old Style" w:hAnsi="Bookman Old Style"/>
        </w:rPr>
        <w:t xml:space="preserve">. </w:t>
      </w:r>
      <w:proofErr w:type="spellStart"/>
      <w:r w:rsidR="00C45032" w:rsidRPr="00C45032">
        <w:rPr>
          <w:rFonts w:ascii="Bookman Old Style" w:hAnsi="Bookman Old Style"/>
        </w:rPr>
        <w:t>mld</w:t>
      </w:r>
      <w:proofErr w:type="spellEnd"/>
      <w:r w:rsidR="00C45032" w:rsidRPr="00C45032">
        <w:rPr>
          <w:rFonts w:ascii="Bookman Old Style" w:hAnsi="Bookman Old Style"/>
        </w:rPr>
        <w:t xml:space="preserve">. per il 2021, oltre a circa 28 miliardi di euro complessivi tra il 2022 e il 2033, mentre dal 20134 l’importo è fissato in 1,5 </w:t>
      </w:r>
      <w:proofErr w:type="spellStart"/>
      <w:r w:rsidR="00C45032" w:rsidRPr="00C45032">
        <w:rPr>
          <w:rFonts w:ascii="Bookman Old Style" w:hAnsi="Bookman Old Style"/>
        </w:rPr>
        <w:t>mld</w:t>
      </w:r>
      <w:proofErr w:type="spellEnd"/>
      <w:r w:rsidR="00C45032" w:rsidRPr="00C45032">
        <w:rPr>
          <w:rFonts w:ascii="Bookman Old Style" w:hAnsi="Bookman Old Style"/>
        </w:rPr>
        <w:t>. di euro</w:t>
      </w:r>
      <w:r w:rsidR="00C45032">
        <w:rPr>
          <w:rFonts w:ascii="Bookman Old Style" w:hAnsi="Bookman Old Style"/>
        </w:rPr>
        <w:t>.</w:t>
      </w:r>
    </w:p>
    <w:p w:rsidR="00C95EBC" w:rsidRDefault="00C45032" w:rsidP="00C45032">
      <w:pPr>
        <w:ind w:firstLine="0"/>
        <w:rPr>
          <w:rFonts w:ascii="Bookman Old Style" w:hAnsi="Bookman Old Style"/>
        </w:rPr>
      </w:pPr>
      <w:r>
        <w:rPr>
          <w:rFonts w:ascii="Bookman Old Style" w:hAnsi="Bookman Old Style"/>
        </w:rPr>
        <w:t xml:space="preserve">Il fondo finanzia diversi interventi diretti riportati nei punti seguenti, e sopperisce ad esigenze di copertura diverse, </w:t>
      </w:r>
      <w:r w:rsidR="00C95EBC">
        <w:rPr>
          <w:rFonts w:ascii="Bookman Old Style" w:hAnsi="Bookman Old Style"/>
        </w:rPr>
        <w:t xml:space="preserve">in primo luogo </w:t>
      </w:r>
      <w:r>
        <w:rPr>
          <w:rFonts w:ascii="Bookman Old Style" w:hAnsi="Bookman Old Style"/>
        </w:rPr>
        <w:t>gli oneri relativi all’abbandono del saldo di competenza</w:t>
      </w:r>
      <w:r w:rsidR="00C95EBC">
        <w:rPr>
          <w:rFonts w:ascii="Bookman Old Style" w:hAnsi="Bookman Old Style"/>
        </w:rPr>
        <w:t xml:space="preserve"> (co. 826) che ne assorbono gran parte e, a regime, la totalità (1,5 </w:t>
      </w:r>
      <w:proofErr w:type="spellStart"/>
      <w:r w:rsidR="00C95EBC">
        <w:rPr>
          <w:rFonts w:ascii="Bookman Old Style" w:hAnsi="Bookman Old Style"/>
        </w:rPr>
        <w:t>mld</w:t>
      </w:r>
      <w:proofErr w:type="spellEnd"/>
      <w:r w:rsidR="00C95EBC">
        <w:rPr>
          <w:rFonts w:ascii="Bookman Old Style" w:hAnsi="Bookman Old Style"/>
        </w:rPr>
        <w:t xml:space="preserve">. di euro). Nel 2019 e 2020 il contributo agli investimenti “diretti e indiretti” delle Regioni (commi da 832 a 842) determina l’assorbimento di ben 2,5 </w:t>
      </w:r>
      <w:proofErr w:type="spellStart"/>
      <w:r w:rsidR="00C95EBC">
        <w:rPr>
          <w:rFonts w:ascii="Bookman Old Style" w:hAnsi="Bookman Old Style"/>
        </w:rPr>
        <w:t>mld</w:t>
      </w:r>
      <w:proofErr w:type="spellEnd"/>
      <w:r w:rsidR="00C95EBC">
        <w:rPr>
          <w:rFonts w:ascii="Bookman Old Style" w:hAnsi="Bookman Old Style"/>
        </w:rPr>
        <w:t xml:space="preserve">./anno, mentre per il periodo 2019-2033 lo stesso fondo finanzia </w:t>
      </w:r>
      <w:r w:rsidR="00C95EBC" w:rsidRPr="00BF57D5">
        <w:rPr>
          <w:rFonts w:ascii="Bookman Old Style" w:hAnsi="Bookman Old Style"/>
          <w:b/>
        </w:rPr>
        <w:t xml:space="preserve">il contributo annuo di 250 mln. di euro che il co. 899 destina alle sole Province </w:t>
      </w:r>
      <w:r w:rsidR="00C95EBC">
        <w:rPr>
          <w:rFonts w:ascii="Bookman Old Style" w:hAnsi="Bookman Old Style"/>
        </w:rPr>
        <w:t>delle regioni a statuto ordinario per la manutenzione, anche ordinaria, di strade e scuole provinciali, inspiegabilmente escludendo le Città metropolitane.</w:t>
      </w:r>
    </w:p>
    <w:p w:rsidR="002B6FB8" w:rsidRDefault="002B6FB8" w:rsidP="00C45032">
      <w:pPr>
        <w:ind w:firstLine="0"/>
        <w:rPr>
          <w:rFonts w:ascii="Bookman Old Style" w:hAnsi="Bookman Old Style"/>
        </w:rPr>
      </w:pPr>
    </w:p>
    <w:p w:rsidR="002B6FB8" w:rsidRPr="006537DF" w:rsidRDefault="002B6FB8" w:rsidP="002B6FB8">
      <w:pPr>
        <w:pStyle w:val="Titolo2"/>
        <w:ind w:firstLine="0"/>
        <w:rPr>
          <w:rFonts w:ascii="Bookman Old Style" w:hAnsi="Bookman Old Style"/>
          <w:b/>
          <w:sz w:val="22"/>
          <w:szCs w:val="22"/>
        </w:rPr>
      </w:pPr>
      <w:bookmarkStart w:id="74" w:name="_Toc534027988"/>
      <w:r w:rsidRPr="00DC3B5C">
        <w:rPr>
          <w:rFonts w:ascii="Bookman Old Style" w:hAnsi="Bookman Old Style"/>
          <w:b/>
          <w:sz w:val="22"/>
          <w:szCs w:val="22"/>
        </w:rPr>
        <w:t xml:space="preserve">Fondi regionali </w:t>
      </w:r>
      <w:r w:rsidR="000F2294" w:rsidRPr="00DC3B5C">
        <w:rPr>
          <w:rFonts w:ascii="Bookman Old Style" w:hAnsi="Bookman Old Style"/>
          <w:b/>
          <w:sz w:val="22"/>
          <w:szCs w:val="22"/>
        </w:rPr>
        <w:t>e</w:t>
      </w:r>
      <w:r w:rsidRPr="00DC3B5C">
        <w:rPr>
          <w:rFonts w:ascii="Bookman Old Style" w:hAnsi="Bookman Old Style"/>
          <w:b/>
          <w:sz w:val="22"/>
          <w:szCs w:val="22"/>
        </w:rPr>
        <w:t xml:space="preserve"> finanziamenti </w:t>
      </w:r>
      <w:r w:rsidR="000F2294" w:rsidRPr="00DC3B5C">
        <w:rPr>
          <w:rFonts w:ascii="Bookman Old Style" w:hAnsi="Bookman Old Style"/>
          <w:b/>
          <w:sz w:val="22"/>
          <w:szCs w:val="22"/>
        </w:rPr>
        <w:t>“</w:t>
      </w:r>
      <w:r w:rsidRPr="00DC3B5C">
        <w:rPr>
          <w:rFonts w:ascii="Bookman Old Style" w:hAnsi="Bookman Old Style"/>
          <w:b/>
          <w:sz w:val="22"/>
          <w:szCs w:val="22"/>
        </w:rPr>
        <w:t>indiretti</w:t>
      </w:r>
      <w:r w:rsidR="000F2294" w:rsidRPr="00DC3B5C">
        <w:rPr>
          <w:rFonts w:ascii="Bookman Old Style" w:hAnsi="Bookman Old Style"/>
          <w:b/>
          <w:sz w:val="22"/>
          <w:szCs w:val="22"/>
        </w:rPr>
        <w:t>”</w:t>
      </w:r>
      <w:r w:rsidRPr="00DC3B5C">
        <w:rPr>
          <w:rFonts w:ascii="Bookman Old Style" w:hAnsi="Bookman Old Style"/>
          <w:b/>
          <w:sz w:val="22"/>
          <w:szCs w:val="22"/>
        </w:rPr>
        <w:t xml:space="preserve"> </w:t>
      </w:r>
      <w:r w:rsidR="000F2294" w:rsidRPr="00DC3B5C">
        <w:rPr>
          <w:rFonts w:ascii="Bookman Old Style" w:hAnsi="Bookman Old Style"/>
          <w:b/>
          <w:sz w:val="22"/>
          <w:szCs w:val="22"/>
        </w:rPr>
        <w:t>agli enti locali</w:t>
      </w:r>
      <w:bookmarkEnd w:id="74"/>
      <w:r w:rsidRPr="00DC3B5C">
        <w:rPr>
          <w:rFonts w:ascii="Bookman Old Style" w:hAnsi="Bookman Old Style"/>
          <w:b/>
          <w:sz w:val="22"/>
          <w:szCs w:val="22"/>
        </w:rPr>
        <w:t xml:space="preserve"> </w:t>
      </w:r>
    </w:p>
    <w:p w:rsidR="00DC3B5C" w:rsidRDefault="002B6FB8" w:rsidP="00DC3B5C">
      <w:pPr>
        <w:spacing w:after="80"/>
        <w:ind w:firstLine="0"/>
        <w:rPr>
          <w:rFonts w:ascii="Bookman Old Style" w:eastAsiaTheme="minorEastAsia" w:hAnsi="Bookman Old Style"/>
        </w:rPr>
      </w:pPr>
      <w:r>
        <w:rPr>
          <w:rFonts w:ascii="Bookman Old Style" w:eastAsiaTheme="minorEastAsia" w:hAnsi="Bookman Old Style"/>
        </w:rPr>
        <w:t xml:space="preserve">I </w:t>
      </w:r>
      <w:r w:rsidRPr="002B6FB8">
        <w:rPr>
          <w:rFonts w:ascii="Bookman Old Style" w:eastAsiaTheme="minorEastAsia" w:hAnsi="Bookman Old Style"/>
          <w:b/>
        </w:rPr>
        <w:t>commi da 832 a 843</w:t>
      </w:r>
      <w:r>
        <w:rPr>
          <w:rFonts w:ascii="Bookman Old Style" w:eastAsiaTheme="minorEastAsia" w:hAnsi="Bookman Old Style"/>
        </w:rPr>
        <w:t xml:space="preserve"> stabiliscono diverse regole relative al </w:t>
      </w:r>
      <w:r w:rsidR="000F2294">
        <w:rPr>
          <w:rFonts w:ascii="Bookman Old Style" w:eastAsiaTheme="minorEastAsia" w:hAnsi="Bookman Old Style"/>
        </w:rPr>
        <w:t xml:space="preserve">concorso </w:t>
      </w:r>
      <w:r>
        <w:rPr>
          <w:rFonts w:ascii="Bookman Old Style" w:eastAsiaTheme="minorEastAsia" w:hAnsi="Bookman Old Style"/>
        </w:rPr>
        <w:t>alla finanza pubblica delle Regioni a statuto ordinario e alla mitigazione</w:t>
      </w:r>
      <w:r w:rsidR="000F2294">
        <w:rPr>
          <w:rFonts w:ascii="Bookman Old Style" w:eastAsiaTheme="minorEastAsia" w:hAnsi="Bookman Old Style"/>
        </w:rPr>
        <w:t>/compensazione</w:t>
      </w:r>
      <w:r>
        <w:rPr>
          <w:rFonts w:ascii="Bookman Old Style" w:eastAsiaTheme="minorEastAsia" w:hAnsi="Bookman Old Style"/>
        </w:rPr>
        <w:t xml:space="preserve"> del suo impatto attraverso un sistema di contribuzione statale “virtuale” (in quanto la sua non materiale erogazione costituisce la modalità del concorso regionale alla finanza pubblica)</w:t>
      </w:r>
      <w:r w:rsidR="000F2294">
        <w:rPr>
          <w:rFonts w:ascii="Bookman Old Style" w:eastAsiaTheme="minorEastAsia" w:hAnsi="Bookman Old Style"/>
        </w:rPr>
        <w:t>,</w:t>
      </w:r>
      <w:r>
        <w:rPr>
          <w:rFonts w:ascii="Bookman Old Style" w:eastAsiaTheme="minorEastAsia" w:hAnsi="Bookman Old Style"/>
        </w:rPr>
        <w:t xml:space="preserve"> </w:t>
      </w:r>
      <w:r w:rsidR="00D739C5">
        <w:rPr>
          <w:rFonts w:ascii="Bookman Old Style" w:eastAsiaTheme="minorEastAsia" w:hAnsi="Bookman Old Style"/>
        </w:rPr>
        <w:t xml:space="preserve">a fronte di </w:t>
      </w:r>
      <w:r>
        <w:rPr>
          <w:rFonts w:ascii="Bookman Old Style" w:eastAsiaTheme="minorEastAsia" w:hAnsi="Bookman Old Style"/>
        </w:rPr>
        <w:t xml:space="preserve">nuovi investimenti “diretti e indiretti” che le Regioni stesse sono tenute ad effettuare. L’ammontare complessivo </w:t>
      </w:r>
      <w:r w:rsidR="00D739C5">
        <w:rPr>
          <w:rFonts w:ascii="Bookman Old Style" w:eastAsiaTheme="minorEastAsia" w:hAnsi="Bookman Old Style"/>
        </w:rPr>
        <w:t xml:space="preserve">delle risorse che potrebbero tradursi in investimenti territoriali </w:t>
      </w:r>
      <w:r>
        <w:rPr>
          <w:rFonts w:ascii="Bookman Old Style" w:eastAsiaTheme="minorEastAsia" w:hAnsi="Bookman Old Style"/>
        </w:rPr>
        <w:t xml:space="preserve"> è pari a 4,2 miliardi di euro nell’arco del quinquennio 2019-2023. Parte di tali risorse potranno essere assegnate – a seconda della discrezionalità di ciascuna Regione – agli enti locali dei rispettivi territori.</w:t>
      </w:r>
      <w:r w:rsidR="000F2294">
        <w:rPr>
          <w:rFonts w:ascii="Bookman Old Style" w:eastAsiaTheme="minorEastAsia" w:hAnsi="Bookman Old Style"/>
        </w:rPr>
        <w:t xml:space="preserve"> Va segnalato che non ha avuto esito, anche per l’opposizione delle Regioni, la proposta dell’ANCI che una quota minima predeterminata degli investimenti regionali fosse riservata ai rispettivi enti locali.</w:t>
      </w:r>
    </w:p>
    <w:p w:rsidR="00DC3B5C" w:rsidRDefault="002B6FB8" w:rsidP="00DC3B5C">
      <w:pPr>
        <w:spacing w:after="80"/>
        <w:ind w:firstLine="0"/>
        <w:rPr>
          <w:rFonts w:ascii="Bookman Old Style" w:eastAsiaTheme="minorEastAsia" w:hAnsi="Bookman Old Style"/>
        </w:rPr>
      </w:pPr>
      <w:r>
        <w:rPr>
          <w:rFonts w:ascii="Bookman Old Style" w:eastAsiaTheme="minorEastAsia" w:hAnsi="Bookman Old Style"/>
        </w:rPr>
        <w:t xml:space="preserve">L’argomento sarà oggetto di approfondimento nelle prossime settimane, </w:t>
      </w:r>
      <w:r w:rsidR="00D739C5">
        <w:rPr>
          <w:rFonts w:ascii="Bookman Old Style" w:eastAsiaTheme="minorEastAsia" w:hAnsi="Bookman Old Style"/>
        </w:rPr>
        <w:t xml:space="preserve">anche con riferimento </w:t>
      </w:r>
      <w:r w:rsidR="000F2294">
        <w:rPr>
          <w:rFonts w:ascii="Bookman Old Style" w:eastAsiaTheme="minorEastAsia" w:hAnsi="Bookman Old Style"/>
        </w:rPr>
        <w:t>al termine del 31 luglio di ciascun anno, che, fin dal 2019, le Regioni devono rispettare per assicurare l’effettuazione degli investimenti previsti dalla norma. Nel 2019 le risorse minime oggetto di investimento sono pari a 800 mln. di euro</w:t>
      </w:r>
      <w:r w:rsidR="00DC3B5C">
        <w:rPr>
          <w:rFonts w:ascii="Bookman Old Style" w:eastAsiaTheme="minorEastAsia" w:hAnsi="Bookman Old Style"/>
        </w:rPr>
        <w:t>.</w:t>
      </w:r>
    </w:p>
    <w:p w:rsidR="002B6FB8" w:rsidRDefault="000F2294" w:rsidP="00DC3B5C">
      <w:pPr>
        <w:spacing w:after="80"/>
        <w:ind w:firstLine="0"/>
        <w:rPr>
          <w:rFonts w:ascii="Bookman Old Style" w:eastAsiaTheme="minorEastAsia" w:hAnsi="Bookman Old Style"/>
        </w:rPr>
      </w:pPr>
      <w:r>
        <w:rPr>
          <w:rFonts w:ascii="Bookman Old Style" w:eastAsiaTheme="minorEastAsia" w:hAnsi="Bookman Old Style"/>
        </w:rPr>
        <w:t xml:space="preserve">Va anche ricordato che il </w:t>
      </w:r>
      <w:r w:rsidRPr="000F2294">
        <w:rPr>
          <w:rFonts w:ascii="Bookman Old Style" w:eastAsiaTheme="minorEastAsia" w:hAnsi="Bookman Old Style"/>
          <w:b/>
        </w:rPr>
        <w:t>comma 832</w:t>
      </w:r>
      <w:r>
        <w:rPr>
          <w:rFonts w:ascii="Bookman Old Style" w:eastAsiaTheme="minorEastAsia" w:hAnsi="Bookman Old Style"/>
          <w:b/>
        </w:rPr>
        <w:t xml:space="preserve"> </w:t>
      </w:r>
      <w:r w:rsidRPr="000F2294">
        <w:rPr>
          <w:rFonts w:ascii="Bookman Old Style" w:eastAsiaTheme="minorEastAsia" w:hAnsi="Bookman Old Style"/>
        </w:rPr>
        <w:t>riduce</w:t>
      </w:r>
      <w:r>
        <w:rPr>
          <w:rFonts w:ascii="Bookman Old Style" w:eastAsiaTheme="minorEastAsia" w:hAnsi="Bookman Old Style"/>
          <w:b/>
        </w:rPr>
        <w:t xml:space="preserve"> </w:t>
      </w:r>
      <w:r>
        <w:rPr>
          <w:rFonts w:ascii="Bookman Old Style" w:eastAsiaTheme="minorEastAsia" w:hAnsi="Bookman Old Style"/>
        </w:rPr>
        <w:t>il concorso</w:t>
      </w:r>
      <w:r w:rsidR="00DC3B5C">
        <w:rPr>
          <w:rFonts w:ascii="Bookman Old Style" w:eastAsiaTheme="minorEastAsia" w:hAnsi="Bookman Old Style"/>
        </w:rPr>
        <w:t xml:space="preserve"> alla finanza pubblica delle Regioni a statuto ordinario di 750 milioni di euro annui, in accoglimento della sentenza della Corte costituzionale n. 103 del 2018 che ha dichiarato l’illegittimità della prosecuzione ulteriore del taglio espressamente temporaneo di cui al dl 66</w:t>
      </w:r>
      <w:r w:rsidR="00B2347E">
        <w:rPr>
          <w:rFonts w:ascii="Bookman Old Style" w:eastAsiaTheme="minorEastAsia" w:hAnsi="Bookman Old Style"/>
        </w:rPr>
        <w:t xml:space="preserve"> del 2014 (</w:t>
      </w:r>
      <w:r w:rsidR="00DC3B5C">
        <w:rPr>
          <w:rFonts w:ascii="Bookman Old Style" w:eastAsiaTheme="minorEastAsia" w:hAnsi="Bookman Old Style"/>
        </w:rPr>
        <w:t>art</w:t>
      </w:r>
      <w:r w:rsidR="00B2347E">
        <w:rPr>
          <w:rFonts w:ascii="Bookman Old Style" w:eastAsiaTheme="minorEastAsia" w:hAnsi="Bookman Old Style"/>
        </w:rPr>
        <w:t>. 46, co. 6). La decisione – per le motivazioni che la sostengono – appare di grande rilievo anche in relazione al mancato finanziamento, di cui si è detto in premessa, della decadenza del taglio disposto dallo stesso dl 66 nei confronti del comparto dei Comuni per 564 milioni di euro “fino al 2018” (art. 47, co. 8).</w:t>
      </w:r>
    </w:p>
    <w:p w:rsidR="00E46B68" w:rsidRDefault="00E46B68" w:rsidP="005132B6">
      <w:pPr>
        <w:ind w:firstLine="0"/>
        <w:rPr>
          <w:rFonts w:ascii="Bookman Old Style" w:hAnsi="Bookman Old Style"/>
        </w:rPr>
      </w:pPr>
    </w:p>
    <w:p w:rsidR="00BF57D5" w:rsidRPr="00E6430B" w:rsidRDefault="00BF57D5" w:rsidP="00BF57D5">
      <w:pPr>
        <w:pStyle w:val="Titolo2"/>
        <w:ind w:firstLine="0"/>
        <w:rPr>
          <w:rFonts w:ascii="Bookman Old Style" w:hAnsi="Bookman Old Style"/>
          <w:b/>
          <w:sz w:val="22"/>
          <w:szCs w:val="22"/>
        </w:rPr>
      </w:pPr>
      <w:bookmarkStart w:id="75" w:name="_Toc533979331"/>
      <w:bookmarkStart w:id="76" w:name="_Toc534027989"/>
      <w:r w:rsidRPr="00E6430B">
        <w:rPr>
          <w:rFonts w:ascii="Bookman Old Style" w:hAnsi="Bookman Old Style"/>
          <w:b/>
          <w:sz w:val="22"/>
          <w:szCs w:val="22"/>
        </w:rPr>
        <w:t>Contributo 2019 per investimenti comunali di messa in sicurezza di scuole, strade, edifici pubblici.</w:t>
      </w:r>
      <w:bookmarkEnd w:id="75"/>
      <w:bookmarkEnd w:id="76"/>
      <w:r w:rsidRPr="00E6430B">
        <w:rPr>
          <w:rFonts w:ascii="Bookman Old Style" w:hAnsi="Bookman Old Style"/>
          <w:b/>
          <w:sz w:val="22"/>
          <w:szCs w:val="22"/>
        </w:rPr>
        <w:t xml:space="preserve"> </w:t>
      </w:r>
    </w:p>
    <w:p w:rsidR="00BF57D5" w:rsidRDefault="00BF57D5" w:rsidP="00BF57D5">
      <w:pPr>
        <w:ind w:firstLine="0"/>
        <w:rPr>
          <w:rFonts w:ascii="Bookman Old Style" w:hAnsi="Bookman Old Style"/>
          <w:szCs w:val="22"/>
        </w:rPr>
      </w:pPr>
      <w:r w:rsidRPr="000A5D6A">
        <w:rPr>
          <w:rFonts w:ascii="Bookman Old Style" w:hAnsi="Bookman Old Style"/>
          <w:szCs w:val="22"/>
        </w:rPr>
        <w:t xml:space="preserve">I </w:t>
      </w:r>
      <w:r w:rsidRPr="000A5D6A">
        <w:rPr>
          <w:rFonts w:ascii="Bookman Old Style" w:hAnsi="Bookman Old Style"/>
          <w:b/>
          <w:szCs w:val="22"/>
        </w:rPr>
        <w:t>commi da</w:t>
      </w:r>
      <w:r w:rsidRPr="000A5D6A">
        <w:rPr>
          <w:rFonts w:ascii="Bookman Old Style" w:hAnsi="Bookman Old Style"/>
          <w:szCs w:val="22"/>
        </w:rPr>
        <w:t xml:space="preserve"> </w:t>
      </w:r>
      <w:r w:rsidRPr="000A5D6A">
        <w:rPr>
          <w:rFonts w:ascii="Bookman Old Style" w:hAnsi="Bookman Old Style"/>
          <w:b/>
          <w:szCs w:val="22"/>
        </w:rPr>
        <w:t>107 a 114</w:t>
      </w:r>
      <w:r w:rsidRPr="000A5D6A">
        <w:rPr>
          <w:rFonts w:ascii="Bookman Old Style" w:hAnsi="Bookman Old Style"/>
          <w:szCs w:val="22"/>
        </w:rPr>
        <w:t xml:space="preserve"> disciplinano l’assegnazione, entro il 10 gennaio 2019, di contributi da parte del Ministero dell’interno ai Comuni, per 400 milioni di euro. L’assegnazione riguarda indistintamente tutti i Comuni fino a 20mila abitanti sulla base delle seguenti misure</w:t>
      </w:r>
      <w:r>
        <w:rPr>
          <w:rFonts w:ascii="Bookman Old Style" w:hAnsi="Bookman Old Style"/>
          <w:szCs w:val="22"/>
        </w:rPr>
        <w:t>, predeterminate per fascia demografica</w:t>
      </w:r>
      <w:r w:rsidRPr="000A5D6A">
        <w:rPr>
          <w:rFonts w:ascii="Bookman Old Style" w:hAnsi="Bookman Old Style"/>
          <w:szCs w:val="22"/>
        </w:rPr>
        <w:t xml:space="preserve">: </w:t>
      </w:r>
    </w:p>
    <w:p w:rsidR="00BF57D5" w:rsidRPr="008B7A99" w:rsidRDefault="00BF57D5" w:rsidP="00BF57D5">
      <w:pPr>
        <w:pStyle w:val="Paragrafoelenco"/>
        <w:numPr>
          <w:ilvl w:val="0"/>
          <w:numId w:val="19"/>
        </w:numPr>
        <w:rPr>
          <w:rFonts w:ascii="Bookman Old Style" w:hAnsi="Bookman Old Style" w:cs="Arial"/>
          <w:bCs/>
          <w:color w:val="333333"/>
          <w:szCs w:val="22"/>
          <w:shd w:val="clear" w:color="auto" w:fill="FFFFFF"/>
        </w:rPr>
      </w:pPr>
      <w:r w:rsidRPr="008B7A99">
        <w:rPr>
          <w:rFonts w:ascii="Bookman Old Style" w:hAnsi="Bookman Old Style" w:cs="Arial"/>
          <w:bCs/>
          <w:color w:val="333333"/>
          <w:szCs w:val="22"/>
          <w:shd w:val="clear" w:color="auto" w:fill="FFFFFF"/>
        </w:rPr>
        <w:t xml:space="preserve">fino a 2mila abitanti: 40.000 euro </w:t>
      </w:r>
    </w:p>
    <w:p w:rsidR="00BF57D5" w:rsidRPr="008B7A99" w:rsidRDefault="00BF57D5" w:rsidP="00BF57D5">
      <w:pPr>
        <w:pStyle w:val="Paragrafoelenco"/>
        <w:numPr>
          <w:ilvl w:val="0"/>
          <w:numId w:val="19"/>
        </w:numPr>
        <w:rPr>
          <w:rFonts w:ascii="Bookman Old Style" w:hAnsi="Bookman Old Style" w:cs="Arial"/>
          <w:bCs/>
          <w:color w:val="333333"/>
          <w:szCs w:val="22"/>
          <w:shd w:val="clear" w:color="auto" w:fill="FFFFFF"/>
        </w:rPr>
      </w:pPr>
      <w:r w:rsidRPr="008B7A99">
        <w:rPr>
          <w:rFonts w:ascii="Bookman Old Style" w:hAnsi="Bookman Old Style" w:cs="Arial"/>
          <w:bCs/>
          <w:color w:val="333333"/>
          <w:szCs w:val="22"/>
          <w:shd w:val="clear" w:color="auto" w:fill="FFFFFF"/>
        </w:rPr>
        <w:t xml:space="preserve">tra 2mila e 5mila abitanti: 50.000 euro </w:t>
      </w:r>
    </w:p>
    <w:p w:rsidR="00BF57D5" w:rsidRPr="008B7A99" w:rsidRDefault="00BF57D5" w:rsidP="00BF57D5">
      <w:pPr>
        <w:pStyle w:val="Paragrafoelenco"/>
        <w:numPr>
          <w:ilvl w:val="0"/>
          <w:numId w:val="19"/>
        </w:numPr>
        <w:rPr>
          <w:rFonts w:ascii="Bookman Old Style" w:hAnsi="Bookman Old Style" w:cs="Arial"/>
          <w:bCs/>
          <w:color w:val="333333"/>
          <w:szCs w:val="22"/>
          <w:shd w:val="clear" w:color="auto" w:fill="FFFFFF"/>
        </w:rPr>
      </w:pPr>
      <w:r w:rsidRPr="008B7A99">
        <w:rPr>
          <w:rFonts w:ascii="Bookman Old Style" w:hAnsi="Bookman Old Style" w:cs="Arial"/>
          <w:bCs/>
          <w:color w:val="333333"/>
          <w:szCs w:val="22"/>
          <w:shd w:val="clear" w:color="auto" w:fill="FFFFFF"/>
        </w:rPr>
        <w:t>tra 5.000 e 10.000 abitanti: 70.000 euro</w:t>
      </w:r>
    </w:p>
    <w:p w:rsidR="00BF57D5" w:rsidRPr="008B7A99" w:rsidRDefault="00BF57D5" w:rsidP="00BF57D5">
      <w:pPr>
        <w:pStyle w:val="Paragrafoelenco"/>
        <w:numPr>
          <w:ilvl w:val="0"/>
          <w:numId w:val="19"/>
        </w:numPr>
        <w:rPr>
          <w:rFonts w:ascii="Bookman Old Style" w:hAnsi="Bookman Old Style" w:cs="Arial"/>
          <w:bCs/>
          <w:color w:val="333333"/>
          <w:szCs w:val="22"/>
          <w:shd w:val="clear" w:color="auto" w:fill="FFFFFF"/>
        </w:rPr>
      </w:pPr>
      <w:r w:rsidRPr="008B7A99">
        <w:rPr>
          <w:rFonts w:ascii="Bookman Old Style" w:hAnsi="Bookman Old Style" w:cs="Arial"/>
          <w:bCs/>
          <w:color w:val="333333"/>
          <w:szCs w:val="22"/>
          <w:shd w:val="clear" w:color="auto" w:fill="FFFFFF"/>
        </w:rPr>
        <w:t>tra 10.000 e 20.000 abitanti: 100.000 euro</w:t>
      </w:r>
    </w:p>
    <w:p w:rsidR="00BF57D5" w:rsidRPr="000A5D6A" w:rsidRDefault="00BF57D5" w:rsidP="00BF57D5">
      <w:pPr>
        <w:ind w:firstLine="0"/>
        <w:rPr>
          <w:rFonts w:ascii="Bookman Old Style" w:hAnsi="Bookman Old Style"/>
          <w:szCs w:val="22"/>
        </w:rPr>
      </w:pPr>
      <w:r w:rsidRPr="000A5D6A">
        <w:rPr>
          <w:rFonts w:ascii="Bookman Old Style" w:hAnsi="Bookman Old Style"/>
          <w:szCs w:val="22"/>
        </w:rPr>
        <w:t xml:space="preserve">Gli investimenti oggetto del contributo devono riguardare opere di messa in sicurezza di scuole, strade, edifici pubblici e patrimonio comunale, non interamente finanziate da altre soggetti ed aggiuntive rispetto a quanto previsto nella prima annualità del piano triennale delle opere pubbliche di cui all’art. 21 del </w:t>
      </w:r>
      <w:proofErr w:type="spellStart"/>
      <w:r w:rsidRPr="000A5D6A">
        <w:rPr>
          <w:rFonts w:ascii="Bookman Old Style" w:hAnsi="Bookman Old Style"/>
          <w:szCs w:val="22"/>
        </w:rPr>
        <w:t>d.lgs</w:t>
      </w:r>
      <w:proofErr w:type="spellEnd"/>
      <w:r w:rsidRPr="000A5D6A">
        <w:rPr>
          <w:rFonts w:ascii="Bookman Old Style" w:hAnsi="Bookman Old Style"/>
          <w:szCs w:val="22"/>
        </w:rPr>
        <w:t xml:space="preserve"> n. 50/2016 (</w:t>
      </w:r>
      <w:r w:rsidRPr="000A5D6A">
        <w:rPr>
          <w:rFonts w:ascii="Bookman Old Style" w:hAnsi="Bookman Old Style"/>
          <w:b/>
          <w:szCs w:val="22"/>
        </w:rPr>
        <w:t>co. 108</w:t>
      </w:r>
      <w:r w:rsidRPr="000A5D6A">
        <w:rPr>
          <w:rFonts w:ascii="Bookman Old Style" w:hAnsi="Bookman Old Style"/>
          <w:szCs w:val="22"/>
        </w:rPr>
        <w:t>). Il Comune è tenuto ad avviare i lavori entro il 15 maggio 2019 (</w:t>
      </w:r>
      <w:r w:rsidRPr="000A5D6A">
        <w:rPr>
          <w:rFonts w:ascii="Bookman Old Style" w:hAnsi="Bookman Old Style"/>
          <w:b/>
          <w:szCs w:val="22"/>
        </w:rPr>
        <w:t>co.109</w:t>
      </w:r>
      <w:r w:rsidRPr="000A5D6A">
        <w:rPr>
          <w:rFonts w:ascii="Bookman Old Style" w:hAnsi="Bookman Old Style"/>
          <w:szCs w:val="22"/>
        </w:rPr>
        <w:t>).</w:t>
      </w:r>
    </w:p>
    <w:p w:rsidR="00BF57D5" w:rsidRPr="000A5D6A" w:rsidRDefault="00BF57D5" w:rsidP="00BF57D5">
      <w:pPr>
        <w:ind w:firstLine="0"/>
        <w:rPr>
          <w:rFonts w:ascii="Bookman Old Style" w:hAnsi="Bookman Old Style"/>
          <w:szCs w:val="22"/>
        </w:rPr>
      </w:pPr>
      <w:r w:rsidRPr="000A5D6A">
        <w:rPr>
          <w:rFonts w:ascii="Bookman Old Style" w:hAnsi="Bookman Old Style"/>
          <w:szCs w:val="22"/>
        </w:rPr>
        <w:t>L’erogazione del contributo (</w:t>
      </w:r>
      <w:r w:rsidRPr="000A5D6A">
        <w:rPr>
          <w:rFonts w:ascii="Bookman Old Style" w:hAnsi="Bookman Old Style"/>
          <w:b/>
          <w:szCs w:val="22"/>
        </w:rPr>
        <w:t>co. 110</w:t>
      </w:r>
      <w:r w:rsidRPr="000A5D6A">
        <w:rPr>
          <w:rFonts w:ascii="Bookman Old Style" w:hAnsi="Bookman Old Style"/>
          <w:szCs w:val="22"/>
        </w:rPr>
        <w:t>) è prevista in  due tranche: il 50% alla verifica dell’avvio dei lavori tramite il sistema di monitoraggio BDAP-MOP</w:t>
      </w:r>
      <w:r>
        <w:rPr>
          <w:rFonts w:ascii="Bookman Old Style" w:hAnsi="Bookman Old Style"/>
          <w:szCs w:val="22"/>
        </w:rPr>
        <w:t xml:space="preserve"> (</w:t>
      </w:r>
      <w:r w:rsidRPr="000A5D6A">
        <w:rPr>
          <w:rFonts w:ascii="Bookman Old Style" w:hAnsi="Bookman Old Style"/>
          <w:b/>
          <w:szCs w:val="22"/>
        </w:rPr>
        <w:t>co. 112</w:t>
      </w:r>
      <w:r>
        <w:rPr>
          <w:rFonts w:ascii="Bookman Old Style" w:hAnsi="Bookman Old Style"/>
          <w:szCs w:val="22"/>
        </w:rPr>
        <w:t>)</w:t>
      </w:r>
      <w:r w:rsidRPr="000A5D6A">
        <w:rPr>
          <w:rFonts w:ascii="Bookman Old Style" w:hAnsi="Bookman Old Style"/>
          <w:szCs w:val="22"/>
        </w:rPr>
        <w:t xml:space="preserve"> e il restante 50% a seguito di “</w:t>
      </w:r>
      <w:r w:rsidRPr="000A5D6A">
        <w:rPr>
          <w:rFonts w:ascii="Bookman Old Style" w:hAnsi="Bookman Old Style" w:cs="Arial"/>
          <w:bCs/>
          <w:i/>
          <w:color w:val="333333"/>
          <w:szCs w:val="22"/>
          <w:shd w:val="clear" w:color="auto" w:fill="FFFFFF"/>
        </w:rPr>
        <w:t>trasmissione al Ministero dell'interno del certificato di collaudo o del certificato di regolare esecuzione rilasciato dal direttore dei lavori</w:t>
      </w:r>
      <w:r w:rsidRPr="000A5D6A">
        <w:rPr>
          <w:rFonts w:ascii="Bookman Old Style" w:hAnsi="Bookman Old Style" w:cs="Arial"/>
          <w:bCs/>
          <w:color w:val="333333"/>
          <w:szCs w:val="22"/>
          <w:shd w:val="clear" w:color="auto" w:fill="FFFFFF"/>
        </w:rPr>
        <w:t>”, di cui all’articolo 102 del codice degli appalti</w:t>
      </w:r>
      <w:r>
        <w:rPr>
          <w:rFonts w:ascii="Bookman Old Style" w:hAnsi="Bookman Old Style" w:cs="Arial"/>
          <w:bCs/>
          <w:color w:val="333333"/>
          <w:szCs w:val="22"/>
          <w:shd w:val="clear" w:color="auto" w:fill="FFFFFF"/>
        </w:rPr>
        <w:t>.</w:t>
      </w:r>
    </w:p>
    <w:p w:rsidR="00BF57D5" w:rsidRDefault="00BF57D5" w:rsidP="00BF57D5">
      <w:pPr>
        <w:ind w:firstLine="0"/>
        <w:rPr>
          <w:rFonts w:ascii="Bookman Old Style" w:hAnsi="Bookman Old Style"/>
        </w:rPr>
      </w:pPr>
      <w:r>
        <w:rPr>
          <w:rFonts w:ascii="Bookman Old Style" w:hAnsi="Bookman Old Style"/>
        </w:rPr>
        <w:t xml:space="preserve">I commi </w:t>
      </w:r>
      <w:r w:rsidRPr="000A5D6A">
        <w:rPr>
          <w:rFonts w:ascii="Bookman Old Style" w:hAnsi="Bookman Old Style"/>
          <w:b/>
        </w:rPr>
        <w:t>111 e 113</w:t>
      </w:r>
      <w:r>
        <w:rPr>
          <w:rFonts w:ascii="Bookman Old Style" w:hAnsi="Bookman Old Style"/>
        </w:rPr>
        <w:t xml:space="preserve"> stabiliscono i criteri di revoca e assegnano ai ministeri dell’Interno e delle Infrastrutture poteri di controllo a campione, mentre il </w:t>
      </w:r>
      <w:r w:rsidRPr="000A5D6A">
        <w:rPr>
          <w:rFonts w:ascii="Bookman Old Style" w:hAnsi="Bookman Old Style"/>
          <w:b/>
        </w:rPr>
        <w:t>comma 114</w:t>
      </w:r>
      <w:r>
        <w:rPr>
          <w:rFonts w:ascii="Bookman Old Style" w:hAnsi="Bookman Old Style"/>
        </w:rPr>
        <w:t xml:space="preserve"> dispone obblighi di comunicazione pubblica, da parte del Comune beneficiario, del contributo e delle opere ad esso correlate.</w:t>
      </w:r>
    </w:p>
    <w:p w:rsidR="009411D4" w:rsidRDefault="009411D4" w:rsidP="00131209">
      <w:pPr>
        <w:rPr>
          <w:rFonts w:ascii="Bookman Old Style" w:hAnsi="Bookman Old Style"/>
        </w:rPr>
      </w:pPr>
    </w:p>
    <w:p w:rsidR="006537DF" w:rsidRPr="006537DF" w:rsidRDefault="006537DF" w:rsidP="00A74219">
      <w:pPr>
        <w:ind w:firstLine="0"/>
        <w:rPr>
          <w:rFonts w:ascii="Bookman Old Style" w:hAnsi="Bookman Old Style"/>
        </w:rPr>
      </w:pPr>
    </w:p>
    <w:p w:rsidR="00131209" w:rsidRPr="00E23FBC" w:rsidRDefault="00131209" w:rsidP="00A74219">
      <w:pPr>
        <w:pStyle w:val="Titolo2"/>
        <w:ind w:firstLine="0"/>
        <w:rPr>
          <w:rFonts w:ascii="Bookman Old Style" w:hAnsi="Bookman Old Style"/>
          <w:b/>
          <w:sz w:val="22"/>
          <w:szCs w:val="22"/>
        </w:rPr>
      </w:pPr>
      <w:bookmarkStart w:id="77" w:name="_Toc533844914"/>
      <w:bookmarkStart w:id="78" w:name="_Toc533979333"/>
      <w:bookmarkStart w:id="79" w:name="_Toc534027990"/>
      <w:r w:rsidRPr="00E23FBC">
        <w:rPr>
          <w:rFonts w:ascii="Bookman Old Style" w:hAnsi="Bookman Old Style"/>
          <w:b/>
          <w:sz w:val="22"/>
          <w:szCs w:val="22"/>
        </w:rPr>
        <w:t xml:space="preserve">Contributi </w:t>
      </w:r>
      <w:r w:rsidR="00A74219">
        <w:rPr>
          <w:rFonts w:ascii="Bookman Old Style" w:hAnsi="Bookman Old Style"/>
          <w:b/>
          <w:sz w:val="22"/>
          <w:szCs w:val="22"/>
        </w:rPr>
        <w:t xml:space="preserve">dal 2021 </w:t>
      </w:r>
      <w:r w:rsidRPr="00E23FBC">
        <w:rPr>
          <w:rFonts w:ascii="Bookman Old Style" w:hAnsi="Bookman Old Style"/>
          <w:b/>
          <w:sz w:val="22"/>
          <w:szCs w:val="22"/>
        </w:rPr>
        <w:t>per investimenti di messa in sicurezza edifici e territorio dei comuni</w:t>
      </w:r>
      <w:bookmarkEnd w:id="77"/>
      <w:bookmarkEnd w:id="78"/>
      <w:bookmarkEnd w:id="79"/>
      <w:r w:rsidR="008B7A99">
        <w:rPr>
          <w:rFonts w:ascii="Bookman Old Style" w:hAnsi="Bookman Old Style"/>
          <w:b/>
          <w:sz w:val="22"/>
          <w:szCs w:val="22"/>
        </w:rPr>
        <w:t xml:space="preserve"> </w:t>
      </w:r>
    </w:p>
    <w:p w:rsidR="00BF57D5" w:rsidRDefault="00131209" w:rsidP="00A74219">
      <w:pPr>
        <w:ind w:firstLine="0"/>
        <w:rPr>
          <w:rFonts w:ascii="Bookman Old Style" w:hAnsi="Bookman Old Style"/>
        </w:rPr>
      </w:pPr>
      <w:r w:rsidRPr="00E23FBC">
        <w:rPr>
          <w:rFonts w:ascii="Bookman Old Style" w:hAnsi="Bookman Old Style"/>
        </w:rPr>
        <w:t xml:space="preserve">I </w:t>
      </w:r>
      <w:r w:rsidRPr="009231D6">
        <w:rPr>
          <w:rFonts w:ascii="Bookman Old Style" w:hAnsi="Bookman Old Style"/>
          <w:b/>
        </w:rPr>
        <w:t>commi 134-148</w:t>
      </w:r>
      <w:r w:rsidRPr="00E23FBC">
        <w:rPr>
          <w:rFonts w:ascii="Bookman Old Style" w:hAnsi="Bookman Old Style"/>
        </w:rPr>
        <w:t xml:space="preserve"> prevedono due distinti programmi </w:t>
      </w:r>
      <w:r>
        <w:rPr>
          <w:rFonts w:ascii="Bookman Old Style" w:hAnsi="Bookman Old Style"/>
        </w:rPr>
        <w:t>–</w:t>
      </w:r>
      <w:r w:rsidRPr="00E23FBC">
        <w:rPr>
          <w:rFonts w:ascii="Bookman Old Style" w:hAnsi="Bookman Old Style"/>
        </w:rPr>
        <w:t xml:space="preserve"> gestiti</w:t>
      </w:r>
      <w:r>
        <w:rPr>
          <w:rFonts w:ascii="Bookman Old Style" w:hAnsi="Bookman Old Style"/>
        </w:rPr>
        <w:t xml:space="preserve"> </w:t>
      </w:r>
      <w:r w:rsidRPr="00E23FBC">
        <w:rPr>
          <w:rFonts w:ascii="Bookman Old Style" w:hAnsi="Bookman Old Style"/>
        </w:rPr>
        <w:t xml:space="preserve">rispettivamente dalle singole regioni e dal Ministero dell’interno </w:t>
      </w:r>
      <w:r>
        <w:rPr>
          <w:rFonts w:ascii="Bookman Old Style" w:hAnsi="Bookman Old Style"/>
        </w:rPr>
        <w:t>–</w:t>
      </w:r>
      <w:r w:rsidRPr="00E23FBC">
        <w:rPr>
          <w:rFonts w:ascii="Bookman Old Style" w:hAnsi="Bookman Old Style"/>
        </w:rPr>
        <w:t xml:space="preserve"> aventi</w:t>
      </w:r>
      <w:r>
        <w:rPr>
          <w:rFonts w:ascii="Bookman Old Style" w:hAnsi="Bookman Old Style"/>
        </w:rPr>
        <w:t xml:space="preserve"> </w:t>
      </w:r>
      <w:r w:rsidRPr="00E23FBC">
        <w:rPr>
          <w:rFonts w:ascii="Bookman Old Style" w:hAnsi="Bookman Old Style"/>
        </w:rPr>
        <w:t>però la medesima finalità di consentire la realizzazione di opere pubbliche</w:t>
      </w:r>
      <w:r>
        <w:rPr>
          <w:rFonts w:ascii="Bookman Old Style" w:hAnsi="Bookman Old Style"/>
        </w:rPr>
        <w:t xml:space="preserve"> </w:t>
      </w:r>
      <w:r w:rsidRPr="00E23FBC">
        <w:rPr>
          <w:rFonts w:ascii="Bookman Old Style" w:hAnsi="Bookman Old Style"/>
        </w:rPr>
        <w:t>per la messa in sicurezza degli edifici e del territorio. Per la realizzazione di</w:t>
      </w:r>
      <w:r>
        <w:rPr>
          <w:rFonts w:ascii="Bookman Old Style" w:hAnsi="Bookman Old Style"/>
        </w:rPr>
        <w:t xml:space="preserve"> </w:t>
      </w:r>
      <w:r w:rsidRPr="00E23FBC">
        <w:rPr>
          <w:rFonts w:ascii="Bookman Old Style" w:hAnsi="Bookman Old Style"/>
        </w:rPr>
        <w:t xml:space="preserve">tali programmi sono assegnati ai comuni, </w:t>
      </w:r>
      <w:r w:rsidRPr="00056849">
        <w:rPr>
          <w:rFonts w:ascii="Bookman Old Style" w:hAnsi="Bookman Old Style"/>
          <w:b/>
        </w:rPr>
        <w:t>per il periodo 2021-2033</w:t>
      </w:r>
      <w:r w:rsidRPr="00E23FBC">
        <w:rPr>
          <w:rFonts w:ascii="Bookman Old Style" w:hAnsi="Bookman Old Style"/>
        </w:rPr>
        <w:t>,</w:t>
      </w:r>
      <w:r>
        <w:rPr>
          <w:rFonts w:ascii="Bookman Old Style" w:hAnsi="Bookman Old Style"/>
        </w:rPr>
        <w:t xml:space="preserve"> </w:t>
      </w:r>
      <w:r w:rsidRPr="00E23FBC">
        <w:rPr>
          <w:rFonts w:ascii="Bookman Old Style" w:hAnsi="Bookman Old Style"/>
        </w:rPr>
        <w:t>mediante riparto effettuato dal soggetto gestore, contributi per un importo</w:t>
      </w:r>
      <w:r>
        <w:rPr>
          <w:rFonts w:ascii="Bookman Old Style" w:hAnsi="Bookman Old Style"/>
        </w:rPr>
        <w:t xml:space="preserve"> </w:t>
      </w:r>
      <w:r w:rsidRPr="00E23FBC">
        <w:rPr>
          <w:rFonts w:ascii="Bookman Old Style" w:hAnsi="Bookman Old Style"/>
        </w:rPr>
        <w:t>complessivo di circa 8,1 miliardi di euro</w:t>
      </w:r>
      <w:r w:rsidR="00A74219">
        <w:rPr>
          <w:rFonts w:ascii="Bookman Old Style" w:hAnsi="Bookman Old Style"/>
        </w:rPr>
        <w:t>, di cui circa un terzo su scala regionale e circa due terzi attraverso il programma nazionale</w:t>
      </w:r>
      <w:r w:rsidRPr="00E23FBC">
        <w:rPr>
          <w:rFonts w:ascii="Bookman Old Style" w:hAnsi="Bookman Old Style"/>
        </w:rPr>
        <w:t>.</w:t>
      </w:r>
      <w:r>
        <w:rPr>
          <w:rFonts w:ascii="Bookman Old Style" w:hAnsi="Bookman Old Style"/>
        </w:rPr>
        <w:t xml:space="preserve"> </w:t>
      </w:r>
      <w:r w:rsidR="00056849">
        <w:rPr>
          <w:rFonts w:ascii="Bookman Old Style" w:hAnsi="Bookman Old Style"/>
        </w:rPr>
        <w:t xml:space="preserve">Nel complesso gli interventi in questione perseguono finalità analoghe a </w:t>
      </w:r>
    </w:p>
    <w:p w:rsidR="00AF71DE" w:rsidRPr="00AF71DE" w:rsidRDefault="00BF57D5" w:rsidP="00A74219">
      <w:pPr>
        <w:ind w:firstLine="0"/>
        <w:rPr>
          <w:rFonts w:ascii="Bookman Old Style" w:hAnsi="Bookman Old Style"/>
        </w:rPr>
      </w:pPr>
      <w:r>
        <w:rPr>
          <w:rFonts w:ascii="Bookman Old Style" w:hAnsi="Bookman Old Style"/>
        </w:rPr>
        <w:t xml:space="preserve">I </w:t>
      </w:r>
      <w:r w:rsidRPr="00AF71DE">
        <w:rPr>
          <w:rFonts w:ascii="Bookman Old Style" w:hAnsi="Bookman Old Style"/>
          <w:b/>
        </w:rPr>
        <w:t>commi 134-138</w:t>
      </w:r>
      <w:r w:rsidRPr="00AF71DE">
        <w:rPr>
          <w:rFonts w:ascii="Bookman Old Style" w:hAnsi="Bookman Old Style"/>
        </w:rPr>
        <w:t xml:space="preserve"> </w:t>
      </w:r>
      <w:r>
        <w:rPr>
          <w:rFonts w:ascii="Bookman Old Style" w:hAnsi="Bookman Old Style"/>
        </w:rPr>
        <w:t xml:space="preserve">assegnano alle Regioni a statuto ordinario </w:t>
      </w:r>
      <w:r w:rsidR="00AF71DE">
        <w:rPr>
          <w:rFonts w:ascii="Bookman Old Style" w:hAnsi="Bookman Old Style"/>
        </w:rPr>
        <w:t>135 mln. di euro annui dal 2021 al 2025, 3</w:t>
      </w:r>
      <w:r w:rsidR="00AF71DE" w:rsidRPr="00AF71DE">
        <w:rPr>
          <w:rFonts w:ascii="Bookman Old Style" w:hAnsi="Bookman Old Style"/>
        </w:rPr>
        <w:t>15 mln. annui per dal 2027 al 2032 e 360 mln. per il 2033</w:t>
      </w:r>
      <w:r w:rsidR="00AF71DE">
        <w:rPr>
          <w:rFonts w:ascii="Bookman Old Style" w:hAnsi="Bookman Old Style"/>
        </w:rPr>
        <w:t>. Il riparto tra le Regioni è indicato nella tabella 1 della legge e può essere modificato “</w:t>
      </w:r>
      <w:r w:rsidR="00AF71DE" w:rsidRPr="00AF71DE">
        <w:rPr>
          <w:rFonts w:ascii="Bookman Old Style" w:hAnsi="Bookman Old Style"/>
          <w:i/>
        </w:rPr>
        <w:t>entro il 31 gennaio 2020</w:t>
      </w:r>
      <w:r w:rsidR="00AF71DE">
        <w:rPr>
          <w:rFonts w:ascii="Bookman Old Style" w:hAnsi="Bookman Old Style"/>
        </w:rPr>
        <w:t xml:space="preserve">” sulla base di accordo tra le regioni stesse. Il </w:t>
      </w:r>
      <w:r w:rsidR="00AF71DE">
        <w:rPr>
          <w:rFonts w:ascii="Bookman Old Style" w:hAnsi="Bookman Old Style"/>
          <w:b/>
        </w:rPr>
        <w:t xml:space="preserve">comma 135 </w:t>
      </w:r>
      <w:r w:rsidR="00AF71DE">
        <w:rPr>
          <w:rFonts w:ascii="Bookman Old Style" w:hAnsi="Bookman Old Style"/>
        </w:rPr>
        <w:t>dispone che “</w:t>
      </w:r>
      <w:r w:rsidR="00AF71DE" w:rsidRPr="00AF71DE">
        <w:rPr>
          <w:rFonts w:ascii="Bookman Old Style" w:hAnsi="Bookman Old Style"/>
          <w:i/>
        </w:rPr>
        <w:t>almeno il 70%</w:t>
      </w:r>
      <w:r w:rsidR="00AF71DE">
        <w:rPr>
          <w:rFonts w:ascii="Bookman Old Style" w:hAnsi="Bookman Old Style"/>
        </w:rPr>
        <w:t>” delle somme assegnate a ciascuna Regione siano destinate ai rispettivi Comuni, entro il “</w:t>
      </w:r>
      <w:r w:rsidR="00AF71DE" w:rsidRPr="00AF71DE">
        <w:rPr>
          <w:rFonts w:ascii="Bookman Old Style" w:hAnsi="Bookman Old Style"/>
          <w:i/>
        </w:rPr>
        <w:t>30 ottobre</w:t>
      </w:r>
      <w:r w:rsidR="00AF71DE">
        <w:rPr>
          <w:rFonts w:ascii="Bookman Old Style" w:hAnsi="Bookman Old Style"/>
        </w:rPr>
        <w:t xml:space="preserve">” dell’anno precedente per finalità di investimento relative alla messa in sicurezza del territorio, di strade, ponti e viadotti di edifici pubblici – con priorità per le scuole e di altre strutture dei Comuni. Il </w:t>
      </w:r>
      <w:r w:rsidR="00AF71DE">
        <w:rPr>
          <w:rFonts w:ascii="Bookman Old Style" w:hAnsi="Bookman Old Style"/>
          <w:b/>
        </w:rPr>
        <w:t>comma 136</w:t>
      </w:r>
      <w:r w:rsidR="00AF71DE">
        <w:rPr>
          <w:rFonts w:ascii="Bookman Old Style" w:hAnsi="Bookman Old Style"/>
        </w:rPr>
        <w:t xml:space="preserve"> obbliga il Comune beneficiario ad affidare i lavori entro 8 mesi dall’assegnazione dei fondi e il monitoraggio segue le regole del sistema BDAP-MOP (</w:t>
      </w:r>
      <w:r w:rsidR="00AF71DE" w:rsidRPr="00056849">
        <w:rPr>
          <w:rFonts w:ascii="Bookman Old Style" w:hAnsi="Bookman Old Style"/>
          <w:b/>
        </w:rPr>
        <w:t>co</w:t>
      </w:r>
      <w:r w:rsidR="00056849" w:rsidRPr="00056849">
        <w:rPr>
          <w:rFonts w:ascii="Bookman Old Style" w:hAnsi="Bookman Old Style"/>
          <w:b/>
        </w:rPr>
        <w:t>.</w:t>
      </w:r>
      <w:r w:rsidR="00AF71DE" w:rsidRPr="00056849">
        <w:rPr>
          <w:rFonts w:ascii="Bookman Old Style" w:hAnsi="Bookman Old Style"/>
          <w:b/>
        </w:rPr>
        <w:t xml:space="preserve"> </w:t>
      </w:r>
      <w:r w:rsidR="00056849" w:rsidRPr="00056849">
        <w:rPr>
          <w:rFonts w:ascii="Bookman Old Style" w:hAnsi="Bookman Old Style"/>
          <w:b/>
        </w:rPr>
        <w:t>138</w:t>
      </w:r>
      <w:r w:rsidR="00056849">
        <w:rPr>
          <w:rFonts w:ascii="Bookman Old Style" w:hAnsi="Bookman Old Style"/>
        </w:rPr>
        <w:t>).</w:t>
      </w:r>
    </w:p>
    <w:p w:rsidR="00B41B4B" w:rsidRDefault="00056849" w:rsidP="00A74219">
      <w:pPr>
        <w:ind w:firstLine="0"/>
        <w:rPr>
          <w:rFonts w:ascii="Bookman Old Style" w:hAnsi="Bookman Old Style" w:cs="Arial"/>
          <w:color w:val="333333"/>
          <w:szCs w:val="22"/>
          <w:shd w:val="clear" w:color="auto" w:fill="FFFFFF"/>
        </w:rPr>
      </w:pPr>
      <w:r w:rsidRPr="00B41B4B">
        <w:rPr>
          <w:rFonts w:ascii="Bookman Old Style" w:hAnsi="Bookman Old Style"/>
          <w:szCs w:val="22"/>
        </w:rPr>
        <w:t xml:space="preserve">Con finalità analoghe il </w:t>
      </w:r>
      <w:r w:rsidRPr="00B41B4B">
        <w:rPr>
          <w:rFonts w:ascii="Bookman Old Style" w:hAnsi="Bookman Old Style"/>
          <w:b/>
          <w:szCs w:val="22"/>
        </w:rPr>
        <w:t xml:space="preserve">commi 139-148 </w:t>
      </w:r>
      <w:r w:rsidRPr="00B41B4B">
        <w:rPr>
          <w:rFonts w:ascii="Bookman Old Style" w:hAnsi="Bookman Old Style"/>
          <w:szCs w:val="22"/>
        </w:rPr>
        <w:t>istituiscono un</w:t>
      </w:r>
      <w:r w:rsidRPr="00B41B4B">
        <w:rPr>
          <w:rFonts w:ascii="Bookman Old Style" w:hAnsi="Bookman Old Style"/>
          <w:b/>
          <w:szCs w:val="22"/>
        </w:rPr>
        <w:t xml:space="preserve"> programma nazionale</w:t>
      </w:r>
      <w:r w:rsidRPr="00B41B4B">
        <w:rPr>
          <w:rFonts w:ascii="Bookman Old Style" w:hAnsi="Bookman Old Style"/>
          <w:szCs w:val="22"/>
        </w:rPr>
        <w:t xml:space="preserve"> </w:t>
      </w:r>
      <w:r w:rsidRPr="00B41B4B">
        <w:rPr>
          <w:rFonts w:ascii="Bookman Old Style" w:hAnsi="Bookman Old Style"/>
          <w:b/>
          <w:szCs w:val="22"/>
        </w:rPr>
        <w:t xml:space="preserve">di sostegno agli investimenti comunali </w:t>
      </w:r>
      <w:r w:rsidRPr="00B41B4B">
        <w:rPr>
          <w:rFonts w:ascii="Bookman Old Style" w:hAnsi="Bookman Old Style" w:cs="Arial"/>
          <w:color w:val="333333"/>
          <w:szCs w:val="22"/>
          <w:shd w:val="clear" w:color="auto" w:fill="FFFFFF"/>
        </w:rPr>
        <w:t>“</w:t>
      </w:r>
      <w:r w:rsidRPr="00B41B4B">
        <w:rPr>
          <w:rFonts w:ascii="Bookman Old Style" w:hAnsi="Bookman Old Style" w:cs="Arial"/>
          <w:i/>
          <w:color w:val="333333"/>
          <w:szCs w:val="22"/>
          <w:shd w:val="clear" w:color="auto" w:fill="FFFFFF"/>
        </w:rPr>
        <w:t>relativi a opere pubbliche di messa in sicurezza degli edifici e del territorio</w:t>
      </w:r>
      <w:r w:rsidRPr="00B41B4B">
        <w:rPr>
          <w:rFonts w:ascii="Bookman Old Style" w:hAnsi="Bookman Old Style" w:cs="Arial"/>
          <w:color w:val="333333"/>
          <w:szCs w:val="22"/>
          <w:shd w:val="clear" w:color="auto" w:fill="FFFFFF"/>
        </w:rPr>
        <w:t xml:space="preserve">”, stanziando 250 milioni di euro annui dal 2021 al 2025, 400 milioni per il 2026, 450 milioni annui dal 2027 al 2031 e 500 milioni per gli anni 2032 e 2033. </w:t>
      </w:r>
      <w:r w:rsidR="00B41B4B" w:rsidRPr="00B41B4B">
        <w:rPr>
          <w:rFonts w:ascii="Bookman Old Style" w:hAnsi="Bookman Old Style" w:cs="Arial"/>
          <w:color w:val="333333"/>
          <w:szCs w:val="22"/>
          <w:shd w:val="clear" w:color="auto" w:fill="FFFFFF"/>
        </w:rPr>
        <w:t xml:space="preserve">Le condizioni di accesso, controllo e monitoraggio riprendono quelle adottate per i contributi analoghi di cui ai commi 853 e seguenti della legge di bilancio per il 2018, tuttora in atto fino al 2021. Diversamente da tale normativa, il </w:t>
      </w:r>
      <w:r w:rsidR="00B41B4B" w:rsidRPr="00B41B4B">
        <w:rPr>
          <w:rFonts w:ascii="Bookman Old Style" w:hAnsi="Bookman Old Style" w:cs="Arial"/>
          <w:b/>
          <w:color w:val="333333"/>
          <w:szCs w:val="22"/>
          <w:shd w:val="clear" w:color="auto" w:fill="FFFFFF"/>
        </w:rPr>
        <w:t>comma 140</w:t>
      </w:r>
      <w:r w:rsidR="00B41B4B" w:rsidRPr="00B41B4B">
        <w:rPr>
          <w:rFonts w:ascii="Bookman Old Style" w:hAnsi="Bookman Old Style" w:cs="Arial"/>
          <w:color w:val="333333"/>
          <w:szCs w:val="22"/>
          <w:shd w:val="clear" w:color="auto" w:fill="FFFFFF"/>
        </w:rPr>
        <w:t>, alla</w:t>
      </w:r>
      <w:r w:rsidR="00B41B4B">
        <w:rPr>
          <w:rFonts w:ascii="Bookman Old Style" w:hAnsi="Bookman Old Style" w:cs="Arial"/>
          <w:b/>
          <w:color w:val="333333"/>
          <w:szCs w:val="22"/>
          <w:shd w:val="clear" w:color="auto" w:fill="FFFFFF"/>
        </w:rPr>
        <w:t xml:space="preserve"> </w:t>
      </w:r>
      <w:r w:rsidR="00B41B4B" w:rsidRPr="00B41B4B">
        <w:rPr>
          <w:rFonts w:ascii="Bookman Old Style" w:hAnsi="Bookman Old Style" w:cs="Arial"/>
          <w:color w:val="333333"/>
          <w:szCs w:val="22"/>
          <w:shd w:val="clear" w:color="auto" w:fill="FFFFFF"/>
        </w:rPr>
        <w:t>lettera b)</w:t>
      </w:r>
      <w:r w:rsidR="00B41B4B">
        <w:rPr>
          <w:rFonts w:ascii="Bookman Old Style" w:hAnsi="Bookman Old Style" w:cs="Arial"/>
          <w:b/>
          <w:color w:val="333333"/>
          <w:szCs w:val="22"/>
          <w:shd w:val="clear" w:color="auto" w:fill="FFFFFF"/>
        </w:rPr>
        <w:t xml:space="preserve"> </w:t>
      </w:r>
      <w:r w:rsidR="00B41B4B">
        <w:rPr>
          <w:rFonts w:ascii="Bookman Old Style" w:hAnsi="Bookman Old Style" w:cs="Arial"/>
          <w:color w:val="333333"/>
          <w:szCs w:val="22"/>
          <w:shd w:val="clear" w:color="auto" w:fill="FFFFFF"/>
        </w:rPr>
        <w:t>determina soglie per le assegnazioni a ciascun Comune a seconda della dimensione demografica: 1 milione di euro fino a 5mila abitanti, 2,5 milioni tra i 5mila e i 25mila abitanti, 5 mln. di euro per i Comuni con popolazione superiore. Inoltre, in caso di richieste maggiori delle disponibilità annue, la priorità viene data ai Comuni con minore disponibilità di avanzi, ma la quota destinabile agli enti in disavanzo viene limitata ad “</w:t>
      </w:r>
      <w:r w:rsidR="00B41B4B" w:rsidRPr="00B41B4B">
        <w:rPr>
          <w:rFonts w:ascii="Bookman Old Style" w:hAnsi="Bookman Old Style" w:cs="Arial"/>
          <w:i/>
          <w:color w:val="333333"/>
          <w:szCs w:val="22"/>
          <w:shd w:val="clear" w:color="auto" w:fill="FFFFFF"/>
        </w:rPr>
        <w:t>un ammontare non superiore alla metà delle risorse disponibili</w:t>
      </w:r>
      <w:r w:rsidR="00B41B4B">
        <w:rPr>
          <w:rFonts w:ascii="Bookman Old Style" w:hAnsi="Bookman Old Style" w:cs="Arial"/>
          <w:color w:val="333333"/>
          <w:szCs w:val="22"/>
          <w:shd w:val="clear" w:color="auto" w:fill="FFFFFF"/>
        </w:rPr>
        <w:t>”</w:t>
      </w:r>
      <w:r w:rsidR="00F07ADF">
        <w:rPr>
          <w:rFonts w:ascii="Bookman Old Style" w:hAnsi="Bookman Old Style" w:cs="Arial"/>
          <w:color w:val="333333"/>
          <w:szCs w:val="22"/>
          <w:shd w:val="clear" w:color="auto" w:fill="FFFFFF"/>
        </w:rPr>
        <w:t xml:space="preserve"> (</w:t>
      </w:r>
      <w:r w:rsidR="00F07ADF" w:rsidRPr="00F07ADF">
        <w:rPr>
          <w:rFonts w:ascii="Bookman Old Style" w:hAnsi="Bookman Old Style" w:cs="Arial"/>
          <w:b/>
          <w:color w:val="333333"/>
          <w:szCs w:val="22"/>
          <w:shd w:val="clear" w:color="auto" w:fill="FFFFFF"/>
        </w:rPr>
        <w:t>commi 141 e 142</w:t>
      </w:r>
      <w:r w:rsidR="00F07ADF">
        <w:rPr>
          <w:rFonts w:ascii="Bookman Old Style" w:hAnsi="Bookman Old Style" w:cs="Arial"/>
          <w:color w:val="333333"/>
          <w:szCs w:val="22"/>
          <w:shd w:val="clear" w:color="auto" w:fill="FFFFFF"/>
        </w:rPr>
        <w:t>)</w:t>
      </w:r>
      <w:r w:rsidR="00B41B4B">
        <w:rPr>
          <w:rFonts w:ascii="Bookman Old Style" w:hAnsi="Bookman Old Style" w:cs="Arial"/>
          <w:color w:val="333333"/>
          <w:szCs w:val="22"/>
          <w:shd w:val="clear" w:color="auto" w:fill="FFFFFF"/>
        </w:rPr>
        <w:t xml:space="preserve">. Anche in questo caso, il Comune </w:t>
      </w:r>
      <w:r w:rsidR="00B41B4B">
        <w:rPr>
          <w:rFonts w:ascii="Bookman Old Style" w:hAnsi="Bookman Old Style"/>
        </w:rPr>
        <w:t>beneficiario deve affidare i lavori entro 8 mesi dall’assegnazione del contributo (</w:t>
      </w:r>
      <w:r w:rsidR="00B41B4B" w:rsidRPr="00B41B4B">
        <w:rPr>
          <w:rFonts w:ascii="Bookman Old Style" w:hAnsi="Bookman Old Style"/>
          <w:b/>
        </w:rPr>
        <w:t>co. 143</w:t>
      </w:r>
      <w:r w:rsidR="00B41B4B">
        <w:rPr>
          <w:rFonts w:ascii="Bookman Old Style" w:hAnsi="Bookman Old Style"/>
        </w:rPr>
        <w:t>)</w:t>
      </w:r>
      <w:r w:rsidR="00F07ADF">
        <w:rPr>
          <w:rFonts w:ascii="Bookman Old Style" w:hAnsi="Bookman Old Style"/>
        </w:rPr>
        <w:t xml:space="preserve"> e il monitoraggio è effettuato attraverso il sistema BDAP-MOP (</w:t>
      </w:r>
      <w:r w:rsidR="00F07ADF" w:rsidRPr="00F07ADF">
        <w:rPr>
          <w:rFonts w:ascii="Bookman Old Style" w:hAnsi="Bookman Old Style"/>
          <w:b/>
        </w:rPr>
        <w:t>co. 146</w:t>
      </w:r>
      <w:r w:rsidR="00F07ADF">
        <w:rPr>
          <w:rFonts w:ascii="Bookman Old Style" w:hAnsi="Bookman Old Style"/>
        </w:rPr>
        <w:t>). Il Ministero dell’Interno gestisce tutti gli aspetti del contributo a cominciare dal decreto di determinazione delle modalità di richiesta, al controllo, ai casi di revoca e riutilizzo delle relative somme. Per il supporto nello svolgimento di tali compiti, il ministero può stipulare una convenzione con la Cassa depositi e prestiti.</w:t>
      </w:r>
    </w:p>
    <w:p w:rsidR="00B41B4B" w:rsidRDefault="00B41B4B" w:rsidP="00A74219">
      <w:pPr>
        <w:ind w:firstLine="0"/>
        <w:rPr>
          <w:rFonts w:ascii="Bookman Old Style" w:hAnsi="Bookman Old Style" w:cs="Arial"/>
          <w:color w:val="333333"/>
          <w:szCs w:val="22"/>
          <w:shd w:val="clear" w:color="auto" w:fill="FFFFFF"/>
        </w:rPr>
      </w:pPr>
    </w:p>
    <w:p w:rsidR="009411D4" w:rsidRPr="005A74EF" w:rsidRDefault="005A74EF" w:rsidP="001D63AD">
      <w:pPr>
        <w:pStyle w:val="Titolo2"/>
        <w:ind w:firstLine="0"/>
        <w:rPr>
          <w:rFonts w:ascii="Bookman Old Style" w:hAnsi="Bookman Old Style"/>
          <w:b/>
          <w:sz w:val="22"/>
          <w:szCs w:val="22"/>
        </w:rPr>
      </w:pPr>
      <w:bookmarkStart w:id="80" w:name="_Toc533784386"/>
      <w:bookmarkStart w:id="81" w:name="_Toc533979334"/>
      <w:bookmarkStart w:id="82" w:name="_Toc534027991"/>
      <w:bookmarkStart w:id="83" w:name="OLE_LINK25"/>
      <w:r w:rsidRPr="005A74EF">
        <w:rPr>
          <w:rFonts w:ascii="Bookman Old Style" w:hAnsi="Bookman Old Style"/>
          <w:b/>
          <w:sz w:val="22"/>
          <w:szCs w:val="22"/>
        </w:rPr>
        <w:t>Fondo mutui finalit</w:t>
      </w:r>
      <w:r>
        <w:rPr>
          <w:rFonts w:ascii="Bookman Old Style" w:hAnsi="Bookman Old Style"/>
          <w:b/>
          <w:sz w:val="22"/>
          <w:szCs w:val="22"/>
        </w:rPr>
        <w:t>à</w:t>
      </w:r>
      <w:r w:rsidRPr="005A74EF">
        <w:rPr>
          <w:rFonts w:ascii="Bookman Old Style" w:hAnsi="Bookman Old Style"/>
          <w:b/>
          <w:sz w:val="22"/>
          <w:szCs w:val="22"/>
        </w:rPr>
        <w:t xml:space="preserve"> sportive</w:t>
      </w:r>
      <w:bookmarkEnd w:id="80"/>
      <w:bookmarkEnd w:id="81"/>
      <w:bookmarkEnd w:id="82"/>
    </w:p>
    <w:p w:rsidR="009411D4" w:rsidRPr="005A74EF" w:rsidRDefault="005A74EF" w:rsidP="005A74EF">
      <w:pPr>
        <w:ind w:firstLine="0"/>
        <w:rPr>
          <w:rFonts w:ascii="Bookman Old Style" w:hAnsi="Bookman Old Style"/>
        </w:rPr>
      </w:pPr>
      <w:r w:rsidRPr="005A74EF">
        <w:rPr>
          <w:rFonts w:ascii="Bookman Old Style" w:hAnsi="Bookman Old Style"/>
        </w:rPr>
        <w:t xml:space="preserve">Il </w:t>
      </w:r>
      <w:r w:rsidRPr="005A74EF">
        <w:rPr>
          <w:rFonts w:ascii="Bookman Old Style" w:hAnsi="Bookman Old Style"/>
          <w:b/>
        </w:rPr>
        <w:t>comma 653</w:t>
      </w:r>
      <w:r w:rsidR="009411D4" w:rsidRPr="005A74EF">
        <w:rPr>
          <w:rFonts w:ascii="Bookman Old Style" w:hAnsi="Bookman Old Style"/>
        </w:rPr>
        <w:t xml:space="preserve"> incrementa di 12,8 mln. di euro per l’anno 2019, la dotazione del Fondo per la concessione da parte dell’Istituto per il credito sportivo di contributi in conto interessi per i mutui </w:t>
      </w:r>
      <w:r w:rsidRPr="005A74EF">
        <w:rPr>
          <w:rFonts w:ascii="Bookman Old Style" w:hAnsi="Bookman Old Style"/>
        </w:rPr>
        <w:t xml:space="preserve">agevolati destinati ad impianti </w:t>
      </w:r>
      <w:r w:rsidR="009411D4" w:rsidRPr="005A74EF">
        <w:rPr>
          <w:rFonts w:ascii="Bookman Old Style" w:hAnsi="Bookman Old Style"/>
        </w:rPr>
        <w:t>sportiv</w:t>
      </w:r>
      <w:r w:rsidRPr="005A74EF">
        <w:rPr>
          <w:rFonts w:ascii="Bookman Old Style" w:hAnsi="Bookman Old Style"/>
        </w:rPr>
        <w:t>i</w:t>
      </w:r>
      <w:r w:rsidR="009411D4" w:rsidRPr="005A74EF">
        <w:rPr>
          <w:rFonts w:ascii="Bookman Old Style" w:hAnsi="Bookman Old Style"/>
        </w:rPr>
        <w:t xml:space="preserve"> (L. 1295/1957).</w:t>
      </w:r>
      <w:bookmarkEnd w:id="83"/>
    </w:p>
    <w:p w:rsidR="009411D4" w:rsidRDefault="009411D4" w:rsidP="009411D4">
      <w:pPr>
        <w:ind w:firstLine="0"/>
        <w:rPr>
          <w:rFonts w:ascii="Bookman Old Style" w:hAnsi="Bookman Old Style"/>
        </w:rPr>
      </w:pPr>
    </w:p>
    <w:p w:rsidR="009411D4" w:rsidRPr="005A74EF" w:rsidRDefault="005A74EF" w:rsidP="001D63AD">
      <w:pPr>
        <w:pStyle w:val="Titolo2"/>
        <w:ind w:firstLine="0"/>
        <w:rPr>
          <w:rFonts w:ascii="Bookman Old Style" w:hAnsi="Bookman Old Style"/>
          <w:b/>
          <w:sz w:val="22"/>
          <w:szCs w:val="22"/>
        </w:rPr>
      </w:pPr>
      <w:bookmarkStart w:id="84" w:name="_Toc533979335"/>
      <w:bookmarkStart w:id="85" w:name="_Toc534027992"/>
      <w:bookmarkStart w:id="86" w:name="_Toc533784385"/>
      <w:r w:rsidRPr="005A74EF">
        <w:rPr>
          <w:rFonts w:ascii="Bookman Old Style" w:hAnsi="Bookman Old Style"/>
          <w:b/>
          <w:sz w:val="22"/>
          <w:szCs w:val="22"/>
        </w:rPr>
        <w:t>Fondo bacino del Po per Città metropolitane, Province e ANAS</w:t>
      </w:r>
      <w:bookmarkEnd w:id="84"/>
      <w:bookmarkEnd w:id="85"/>
      <w:r w:rsidRPr="005A74EF">
        <w:rPr>
          <w:rFonts w:ascii="Bookman Old Style" w:hAnsi="Bookman Old Style"/>
          <w:b/>
          <w:sz w:val="22"/>
          <w:szCs w:val="22"/>
        </w:rPr>
        <w:t xml:space="preserve"> </w:t>
      </w:r>
      <w:bookmarkEnd w:id="86"/>
    </w:p>
    <w:p w:rsidR="009411D4" w:rsidRPr="005A74EF" w:rsidRDefault="005A74EF" w:rsidP="005A74EF">
      <w:pPr>
        <w:ind w:firstLine="0"/>
        <w:rPr>
          <w:rFonts w:ascii="Bookman Old Style" w:hAnsi="Bookman Old Style"/>
        </w:rPr>
      </w:pPr>
      <w:r>
        <w:rPr>
          <w:rFonts w:ascii="Bookman Old Style" w:hAnsi="Bookman Old Style"/>
        </w:rPr>
        <w:t xml:space="preserve">Il </w:t>
      </w:r>
      <w:r w:rsidRPr="005A74EF">
        <w:rPr>
          <w:rFonts w:ascii="Bookman Old Style" w:hAnsi="Bookman Old Style"/>
          <w:b/>
        </w:rPr>
        <w:t>comma 891</w:t>
      </w:r>
      <w:r>
        <w:rPr>
          <w:rFonts w:ascii="Bookman Old Style" w:hAnsi="Bookman Old Style"/>
        </w:rPr>
        <w:t xml:space="preserve"> istituisce </w:t>
      </w:r>
      <w:r w:rsidR="009411D4" w:rsidRPr="005A74EF">
        <w:rPr>
          <w:rFonts w:ascii="Bookman Old Style" w:hAnsi="Bookman Old Style"/>
        </w:rPr>
        <w:t>nello stato di previsione del Ministero delle infrastrutture e dei trasporti un  fondo con una  dotazione  annua  di  50  milioni di euro dal  2019  al  2023 per gli interventi di  messa in sicurezza dei ponti esistenti e la realizzazione di nuovi ponti in sostituzione  di quelli esistenti con problemi strutturali di sicurezza sul bacino del Po, da ripartire con decreto ministeriale, a favore delle Città metropolitane, delle Province territorialmente competenti e dell’ANAS S.p.A. (articolo 1, comma 891)</w:t>
      </w:r>
    </w:p>
    <w:p w:rsidR="009411D4" w:rsidRDefault="009411D4" w:rsidP="009411D4">
      <w:pPr>
        <w:tabs>
          <w:tab w:val="left" w:pos="3285"/>
        </w:tabs>
        <w:spacing w:before="60" w:after="60" w:line="240" w:lineRule="auto"/>
        <w:ind w:firstLine="0"/>
        <w:rPr>
          <w:rFonts w:ascii="Bookman Old Style" w:hAnsi="Bookman Old Style"/>
          <w:iCs/>
          <w:szCs w:val="22"/>
        </w:rPr>
      </w:pPr>
    </w:p>
    <w:p w:rsidR="00F07ADF" w:rsidRDefault="00C409BE" w:rsidP="00F07ADF">
      <w:pPr>
        <w:pStyle w:val="Titolo2"/>
        <w:ind w:firstLine="0"/>
        <w:rPr>
          <w:rFonts w:ascii="Bookman Old Style" w:hAnsi="Bookman Old Style"/>
          <w:b/>
          <w:sz w:val="22"/>
          <w:szCs w:val="22"/>
        </w:rPr>
      </w:pPr>
      <w:bookmarkStart w:id="87" w:name="_Toc533979336"/>
      <w:bookmarkStart w:id="88" w:name="_Toc534027993"/>
      <w:r>
        <w:rPr>
          <w:rFonts w:ascii="Bookman Old Style" w:hAnsi="Bookman Old Style"/>
          <w:b/>
          <w:sz w:val="22"/>
          <w:szCs w:val="22"/>
        </w:rPr>
        <w:t xml:space="preserve">Struttura </w:t>
      </w:r>
      <w:r w:rsidR="00F07ADF" w:rsidRPr="00F07ADF">
        <w:rPr>
          <w:rFonts w:ascii="Bookman Old Style" w:hAnsi="Bookman Old Style"/>
          <w:b/>
          <w:sz w:val="22"/>
          <w:szCs w:val="22"/>
        </w:rPr>
        <w:t>per la progettazione</w:t>
      </w:r>
      <w:bookmarkEnd w:id="87"/>
      <w:bookmarkEnd w:id="88"/>
      <w:r w:rsidR="00F07ADF" w:rsidRPr="00F07ADF">
        <w:rPr>
          <w:rFonts w:ascii="Bookman Old Style" w:hAnsi="Bookman Old Style"/>
          <w:b/>
          <w:sz w:val="22"/>
          <w:szCs w:val="22"/>
        </w:rPr>
        <w:t xml:space="preserve"> </w:t>
      </w:r>
    </w:p>
    <w:p w:rsidR="00F07ADF" w:rsidRPr="00054239" w:rsidRDefault="00F07ADF" w:rsidP="00F07ADF">
      <w:pPr>
        <w:shd w:val="clear" w:color="auto" w:fill="FFFFFF"/>
        <w:spacing w:before="30" w:after="30"/>
        <w:ind w:left="30" w:firstLine="0"/>
        <w:rPr>
          <w:rFonts w:ascii="Bookman Old Style" w:hAnsi="Bookman Old Style" w:cs="Arial"/>
          <w:bCs/>
          <w:color w:val="333333"/>
          <w:szCs w:val="22"/>
          <w:shd w:val="clear" w:color="auto" w:fill="FFFFFF"/>
        </w:rPr>
      </w:pPr>
      <w:r>
        <w:rPr>
          <w:rFonts w:ascii="Bookman Old Style" w:hAnsi="Bookman Old Style"/>
          <w:color w:val="000000"/>
        </w:rPr>
        <w:t xml:space="preserve">I </w:t>
      </w:r>
      <w:r w:rsidRPr="00F07ADF">
        <w:rPr>
          <w:rFonts w:ascii="Bookman Old Style" w:hAnsi="Bookman Old Style"/>
          <w:b/>
          <w:color w:val="000000"/>
        </w:rPr>
        <w:t>commi da 162 a 170</w:t>
      </w:r>
      <w:r>
        <w:rPr>
          <w:rFonts w:ascii="Bookman Old Style" w:hAnsi="Bookman Old Style"/>
          <w:color w:val="000000"/>
        </w:rPr>
        <w:t xml:space="preserve"> istituiscono presso la Presidenza del Consiglio una struttura </w:t>
      </w:r>
      <w:r w:rsidR="00C409BE">
        <w:rPr>
          <w:rFonts w:ascii="Bookman Old Style" w:hAnsi="Bookman Old Style"/>
          <w:color w:val="000000"/>
        </w:rPr>
        <w:t xml:space="preserve">per il supporto alla progettazione delle amministrazione centrali e degli enti territoriali. Il </w:t>
      </w:r>
      <w:r w:rsidR="00C409BE" w:rsidRPr="00C409BE">
        <w:rPr>
          <w:rFonts w:ascii="Bookman Old Style" w:hAnsi="Bookman Old Style"/>
          <w:color w:val="000000"/>
          <w:szCs w:val="22"/>
        </w:rPr>
        <w:t xml:space="preserve">funzionamento della nuova struttura di missione sarà determinato nel </w:t>
      </w:r>
      <w:proofErr w:type="spellStart"/>
      <w:r w:rsidR="00C409BE" w:rsidRPr="00C409BE">
        <w:rPr>
          <w:rFonts w:ascii="Bookman Old Style" w:hAnsi="Bookman Old Style"/>
          <w:color w:val="000000"/>
          <w:szCs w:val="22"/>
        </w:rPr>
        <w:t>dettasglio</w:t>
      </w:r>
      <w:proofErr w:type="spellEnd"/>
      <w:r w:rsidR="00C409BE" w:rsidRPr="00C409BE">
        <w:rPr>
          <w:rFonts w:ascii="Bookman Old Style" w:hAnsi="Bookman Old Style"/>
          <w:color w:val="000000"/>
          <w:szCs w:val="22"/>
        </w:rPr>
        <w:t xml:space="preserve"> da un DPCM (</w:t>
      </w:r>
      <w:r w:rsidR="00C409BE" w:rsidRPr="00054239">
        <w:rPr>
          <w:rFonts w:ascii="Bookman Old Style" w:hAnsi="Bookman Old Style"/>
          <w:b/>
          <w:color w:val="000000"/>
          <w:szCs w:val="22"/>
        </w:rPr>
        <w:t>co. 162</w:t>
      </w:r>
      <w:r w:rsidR="00C409BE" w:rsidRPr="00C409BE">
        <w:rPr>
          <w:rFonts w:ascii="Bookman Old Style" w:hAnsi="Bookman Old Style"/>
          <w:color w:val="000000"/>
          <w:szCs w:val="22"/>
        </w:rPr>
        <w:t>), mentre i compiti, molto vasti</w:t>
      </w:r>
      <w:r w:rsidR="00C409BE">
        <w:rPr>
          <w:rFonts w:ascii="Bookman Old Style" w:hAnsi="Bookman Old Style"/>
          <w:color w:val="000000"/>
          <w:szCs w:val="22"/>
        </w:rPr>
        <w:t>,</w:t>
      </w:r>
      <w:r w:rsidR="00C409BE" w:rsidRPr="00C409BE">
        <w:rPr>
          <w:rFonts w:ascii="Bookman Old Style" w:hAnsi="Bookman Old Style"/>
          <w:color w:val="000000"/>
          <w:szCs w:val="22"/>
        </w:rPr>
        <w:t xml:space="preserve"> assegnati dalla legge sono indicati dal </w:t>
      </w:r>
      <w:r w:rsidR="00C409BE" w:rsidRPr="00054239">
        <w:rPr>
          <w:rFonts w:ascii="Bookman Old Style" w:hAnsi="Bookman Old Style"/>
          <w:b/>
          <w:color w:val="000000"/>
          <w:szCs w:val="22"/>
        </w:rPr>
        <w:t>comma 163</w:t>
      </w:r>
      <w:r w:rsidR="00C409BE" w:rsidRPr="00C409BE">
        <w:rPr>
          <w:rFonts w:ascii="Bookman Old Style" w:hAnsi="Bookman Old Style"/>
          <w:color w:val="000000"/>
          <w:szCs w:val="22"/>
        </w:rPr>
        <w:t>: “</w:t>
      </w:r>
      <w:r w:rsidR="00C409BE" w:rsidRPr="00C409BE">
        <w:rPr>
          <w:rFonts w:ascii="Bookman Old Style" w:hAnsi="Bookman Old Style" w:cs="Arial"/>
          <w:bCs/>
          <w:i/>
          <w:color w:val="333333"/>
          <w:szCs w:val="22"/>
          <w:shd w:val="clear" w:color="auto" w:fill="FFFFFF"/>
        </w:rPr>
        <w:t>favorire lo sviluppo e l'efficienza della progettazione e degli investimenti pubblici, … contribuire alla valorizzazione, all'innovazione tecnologica, all'</w:t>
      </w:r>
      <w:proofErr w:type="spellStart"/>
      <w:r w:rsidR="00C409BE" w:rsidRPr="00C409BE">
        <w:rPr>
          <w:rFonts w:ascii="Bookman Old Style" w:hAnsi="Bookman Old Style" w:cs="Arial"/>
          <w:bCs/>
          <w:i/>
          <w:color w:val="333333"/>
          <w:szCs w:val="22"/>
          <w:shd w:val="clear" w:color="auto" w:fill="FFFFFF"/>
        </w:rPr>
        <w:t>efficientamento</w:t>
      </w:r>
      <w:proofErr w:type="spellEnd"/>
      <w:r w:rsidR="00C409BE" w:rsidRPr="00C409BE">
        <w:rPr>
          <w:rFonts w:ascii="Bookman Old Style" w:hAnsi="Bookman Old Style" w:cs="Arial"/>
          <w:bCs/>
          <w:i/>
          <w:color w:val="333333"/>
          <w:szCs w:val="22"/>
          <w:shd w:val="clear" w:color="auto" w:fill="FFFFFF"/>
        </w:rPr>
        <w:t xml:space="preserve"> energetico e ambientale nella progettazione e nella realizzazione di edifici e beni pubblici, alla progettazione degli interventi di realizzazione e manutenzione, ordinaria e straordinaria, di edifici e beni pubblici, anche in relazione all'edilizia statale, scolastica, universitaria, sanitaria e carceraria, nonché alla predisposizione di modelli innovativi progettuali ed esecutivi per edifici pubblici e opere similari e connesse o con elevato grado di uniformità e ripetitività</w:t>
      </w:r>
      <w:r w:rsidR="00C409BE" w:rsidRPr="00C409BE">
        <w:rPr>
          <w:rFonts w:ascii="Bookman Old Style" w:hAnsi="Bookman Old Style" w:cs="Arial"/>
          <w:bCs/>
          <w:color w:val="333333"/>
          <w:szCs w:val="22"/>
          <w:shd w:val="clear" w:color="auto" w:fill="FFFFFF"/>
        </w:rPr>
        <w:t>.”.</w:t>
      </w:r>
      <w:r w:rsidR="00C409BE">
        <w:rPr>
          <w:rFonts w:ascii="Bookman Old Style" w:hAnsi="Bookman Old Style" w:cs="Arial"/>
          <w:bCs/>
          <w:color w:val="333333"/>
          <w:szCs w:val="22"/>
          <w:shd w:val="clear" w:color="auto" w:fill="FFFFFF"/>
        </w:rPr>
        <w:t xml:space="preserve"> Il </w:t>
      </w:r>
      <w:r w:rsidR="00C409BE" w:rsidRPr="00054239">
        <w:rPr>
          <w:rFonts w:ascii="Bookman Old Style" w:hAnsi="Bookman Old Style" w:cs="Arial"/>
          <w:b/>
          <w:bCs/>
          <w:color w:val="333333"/>
          <w:szCs w:val="22"/>
          <w:shd w:val="clear" w:color="auto" w:fill="FFFFFF"/>
        </w:rPr>
        <w:t>comma 165</w:t>
      </w:r>
      <w:r w:rsidR="00C409BE">
        <w:rPr>
          <w:rFonts w:ascii="Bookman Old Style" w:hAnsi="Bookman Old Style" w:cs="Arial"/>
          <w:bCs/>
          <w:color w:val="333333"/>
          <w:szCs w:val="22"/>
          <w:shd w:val="clear" w:color="auto" w:fill="FFFFFF"/>
        </w:rPr>
        <w:t xml:space="preserve"> dimensiona in 300 unità di personale (con prevalenza di profili tecnici e con un massimo di dirigenti entro il 5%</w:t>
      </w:r>
      <w:r w:rsidR="00054239">
        <w:rPr>
          <w:rFonts w:ascii="Bookman Old Style" w:hAnsi="Bookman Old Style" w:cs="Arial"/>
          <w:bCs/>
          <w:color w:val="333333"/>
          <w:szCs w:val="22"/>
          <w:shd w:val="clear" w:color="auto" w:fill="FFFFFF"/>
        </w:rPr>
        <w:t>)</w:t>
      </w:r>
      <w:r w:rsidR="00C409BE">
        <w:rPr>
          <w:rFonts w:ascii="Bookman Old Style" w:hAnsi="Bookman Old Style" w:cs="Arial"/>
          <w:bCs/>
          <w:color w:val="333333"/>
          <w:szCs w:val="22"/>
          <w:shd w:val="clear" w:color="auto" w:fill="FFFFFF"/>
        </w:rPr>
        <w:t>, se</w:t>
      </w:r>
      <w:r w:rsidR="00054239">
        <w:rPr>
          <w:rFonts w:ascii="Bookman Old Style" w:hAnsi="Bookman Old Style" w:cs="Arial"/>
          <w:bCs/>
          <w:color w:val="333333"/>
          <w:szCs w:val="22"/>
          <w:shd w:val="clear" w:color="auto" w:fill="FFFFFF"/>
        </w:rPr>
        <w:t>le</w:t>
      </w:r>
      <w:r w:rsidR="00C409BE">
        <w:rPr>
          <w:rFonts w:ascii="Bookman Old Style" w:hAnsi="Bookman Old Style" w:cs="Arial"/>
          <w:bCs/>
          <w:color w:val="333333"/>
          <w:szCs w:val="22"/>
          <w:shd w:val="clear" w:color="auto" w:fill="FFFFFF"/>
        </w:rPr>
        <w:t>zionat</w:t>
      </w:r>
      <w:r w:rsidR="00054239">
        <w:rPr>
          <w:rFonts w:ascii="Bookman Old Style" w:hAnsi="Bookman Old Style" w:cs="Arial"/>
          <w:bCs/>
          <w:color w:val="333333"/>
          <w:szCs w:val="22"/>
          <w:shd w:val="clear" w:color="auto" w:fill="FFFFFF"/>
        </w:rPr>
        <w:t>e</w:t>
      </w:r>
      <w:r w:rsidR="00C409BE">
        <w:rPr>
          <w:rFonts w:ascii="Bookman Old Style" w:hAnsi="Bookman Old Style" w:cs="Arial"/>
          <w:bCs/>
          <w:color w:val="333333"/>
          <w:szCs w:val="22"/>
          <w:shd w:val="clear" w:color="auto" w:fill="FFFFFF"/>
        </w:rPr>
        <w:t xml:space="preserve"> “</w:t>
      </w:r>
      <w:r w:rsidR="00C409BE" w:rsidRPr="00054239">
        <w:rPr>
          <w:rFonts w:ascii="Bookman Old Style" w:hAnsi="Bookman Old Style" w:cs="Arial"/>
          <w:bCs/>
          <w:i/>
          <w:color w:val="333333"/>
          <w:szCs w:val="22"/>
          <w:shd w:val="clear" w:color="auto" w:fill="FFFFFF"/>
        </w:rPr>
        <w:t>con procedura selettiva pubblica</w:t>
      </w:r>
      <w:r w:rsidR="00054239" w:rsidRPr="00054239">
        <w:rPr>
          <w:rFonts w:ascii="Bookman Old Style" w:hAnsi="Bookman Old Style" w:cs="Arial"/>
          <w:bCs/>
          <w:i/>
          <w:color w:val="333333"/>
          <w:szCs w:val="22"/>
          <w:shd w:val="clear" w:color="auto" w:fill="FFFFFF"/>
        </w:rPr>
        <w:t>,  le cui modalità di svolgimento e i cui criteri per la selezione sono improntati a princìpi di trasparenza, pubblicità, imparzialità e valorizzazione della professionalità</w:t>
      </w:r>
      <w:r w:rsidR="00C409BE" w:rsidRPr="00054239">
        <w:rPr>
          <w:rFonts w:ascii="Bookman Old Style" w:hAnsi="Bookman Old Style" w:cs="Arial"/>
          <w:bCs/>
          <w:i/>
          <w:color w:val="333333"/>
          <w:szCs w:val="22"/>
          <w:shd w:val="clear" w:color="auto" w:fill="FFFFFF"/>
        </w:rPr>
        <w:t>”</w:t>
      </w:r>
      <w:r w:rsidR="00054239">
        <w:rPr>
          <w:rFonts w:ascii="Bookman Old Style" w:hAnsi="Bookman Old Style" w:cs="Arial"/>
          <w:bCs/>
          <w:i/>
          <w:color w:val="333333"/>
          <w:szCs w:val="22"/>
          <w:shd w:val="clear" w:color="auto" w:fill="FFFFFF"/>
        </w:rPr>
        <w:t xml:space="preserve">, </w:t>
      </w:r>
      <w:r w:rsidR="00054239">
        <w:rPr>
          <w:rFonts w:ascii="Bookman Old Style" w:hAnsi="Bookman Old Style" w:cs="Arial"/>
          <w:bCs/>
          <w:color w:val="333333"/>
          <w:szCs w:val="22"/>
          <w:shd w:val="clear" w:color="auto" w:fill="FFFFFF"/>
        </w:rPr>
        <w:t>mentr</w:t>
      </w:r>
      <w:r w:rsidR="00054239" w:rsidRPr="00054239">
        <w:rPr>
          <w:rFonts w:ascii="Bookman Old Style" w:hAnsi="Bookman Old Style" w:cs="Arial"/>
          <w:bCs/>
          <w:color w:val="333333"/>
          <w:szCs w:val="22"/>
          <w:shd w:val="clear" w:color="auto" w:fill="FFFFFF"/>
        </w:rPr>
        <w:t>e</w:t>
      </w:r>
      <w:r w:rsidR="00054239">
        <w:rPr>
          <w:rFonts w:ascii="Bookman Old Style" w:hAnsi="Bookman Old Style" w:cs="Arial"/>
          <w:bCs/>
          <w:color w:val="333333"/>
          <w:szCs w:val="22"/>
          <w:shd w:val="clear" w:color="auto" w:fill="FFFFFF"/>
        </w:rPr>
        <w:t xml:space="preserve"> per accelerare l’operatività della Struttura, in base al </w:t>
      </w:r>
      <w:r w:rsidR="00054239">
        <w:rPr>
          <w:rFonts w:ascii="Bookman Old Style" w:hAnsi="Bookman Old Style" w:cs="Arial"/>
          <w:b/>
          <w:bCs/>
          <w:color w:val="333333"/>
          <w:szCs w:val="22"/>
          <w:shd w:val="clear" w:color="auto" w:fill="FFFFFF"/>
        </w:rPr>
        <w:t>comma 167</w:t>
      </w:r>
      <w:r w:rsidR="00054239">
        <w:rPr>
          <w:rFonts w:ascii="Bookman Old Style" w:hAnsi="Bookman Old Style" w:cs="Arial"/>
          <w:bCs/>
          <w:color w:val="333333"/>
          <w:szCs w:val="22"/>
          <w:shd w:val="clear" w:color="auto" w:fill="FFFFFF"/>
        </w:rPr>
        <w:t xml:space="preserve"> le prime 50 unità possono essere reclutate “</w:t>
      </w:r>
      <w:r w:rsidR="00054239">
        <w:rPr>
          <w:rFonts w:ascii="Bookman Old Style" w:hAnsi="Bookman Old Style" w:cs="Arial"/>
          <w:bCs/>
          <w:i/>
          <w:color w:val="333333"/>
          <w:szCs w:val="22"/>
          <w:shd w:val="clear" w:color="auto" w:fill="FFFFFF"/>
        </w:rPr>
        <w:t xml:space="preserve">prescindendo da ogni formalità” </w:t>
      </w:r>
      <w:r w:rsidR="00054239">
        <w:rPr>
          <w:rFonts w:ascii="Bookman Old Style" w:hAnsi="Bookman Old Style" w:cs="Arial"/>
          <w:bCs/>
          <w:color w:val="333333"/>
          <w:szCs w:val="22"/>
          <w:shd w:val="clear" w:color="auto" w:fill="FFFFFF"/>
        </w:rPr>
        <w:t xml:space="preserve">nell’ambito del personale di ruolo sulla base di protocolli d’intesa con le amministrazioni di appartenenza. Per il finanziamento della Struttura, il </w:t>
      </w:r>
      <w:r w:rsidR="00054239" w:rsidRPr="00054239">
        <w:rPr>
          <w:rFonts w:ascii="Bookman Old Style" w:hAnsi="Bookman Old Style" w:cs="Arial"/>
          <w:b/>
          <w:bCs/>
          <w:color w:val="333333"/>
          <w:szCs w:val="22"/>
          <w:shd w:val="clear" w:color="auto" w:fill="FFFFFF"/>
        </w:rPr>
        <w:t>comma 170</w:t>
      </w:r>
      <w:r w:rsidR="00054239">
        <w:rPr>
          <w:rFonts w:ascii="Bookman Old Style" w:hAnsi="Bookman Old Style" w:cs="Arial"/>
          <w:b/>
          <w:bCs/>
          <w:i/>
          <w:color w:val="333333"/>
          <w:szCs w:val="22"/>
          <w:shd w:val="clear" w:color="auto" w:fill="FFFFFF"/>
        </w:rPr>
        <w:t xml:space="preserve"> </w:t>
      </w:r>
      <w:r w:rsidR="00054239" w:rsidRPr="00054239">
        <w:rPr>
          <w:rFonts w:ascii="Bookman Old Style" w:hAnsi="Bookman Old Style" w:cs="Arial"/>
          <w:bCs/>
          <w:color w:val="333333"/>
          <w:szCs w:val="22"/>
          <w:shd w:val="clear" w:color="auto" w:fill="FFFFFF"/>
        </w:rPr>
        <w:t>rimanda al comma 106, che autorizza la spesa di 100 milioni di euro</w:t>
      </w:r>
      <w:r w:rsidR="00054239" w:rsidRPr="00054239">
        <w:rPr>
          <w:rFonts w:ascii="Bookman Old Style" w:hAnsi="Bookman Old Style" w:cs="Arial"/>
          <w:bCs/>
          <w:i/>
          <w:color w:val="333333"/>
          <w:szCs w:val="22"/>
          <w:shd w:val="clear" w:color="auto" w:fill="FFFFFF"/>
        </w:rPr>
        <w:t xml:space="preserve"> “a favore dell’Agenzia dl demanio”</w:t>
      </w:r>
      <w:r w:rsidR="00054239">
        <w:rPr>
          <w:rFonts w:ascii="Bookman Old Style" w:hAnsi="Bookman Old Style" w:cs="Arial"/>
          <w:bCs/>
          <w:color w:val="333333"/>
          <w:szCs w:val="22"/>
          <w:shd w:val="clear" w:color="auto" w:fill="FFFFFF"/>
        </w:rPr>
        <w:t>.</w:t>
      </w:r>
    </w:p>
    <w:p w:rsidR="00131209" w:rsidRDefault="00131209" w:rsidP="00131209">
      <w:pPr>
        <w:spacing w:line="240" w:lineRule="auto"/>
        <w:jc w:val="center"/>
        <w:rPr>
          <w:rFonts w:ascii="Bookman Old Style" w:hAnsi="Bookman Old Style"/>
          <w:b/>
          <w:iCs/>
          <w:szCs w:val="22"/>
          <w:lang w:eastAsia="en-US"/>
        </w:rPr>
      </w:pPr>
      <w:bookmarkStart w:id="89" w:name="_Toc533777800"/>
    </w:p>
    <w:p w:rsidR="00D23905" w:rsidRPr="00D23905" w:rsidRDefault="00D23905" w:rsidP="00D23905">
      <w:pPr>
        <w:pStyle w:val="Titolo2"/>
        <w:ind w:firstLine="0"/>
        <w:rPr>
          <w:rFonts w:ascii="Bookman Old Style" w:hAnsi="Bookman Old Style"/>
          <w:b/>
          <w:sz w:val="22"/>
          <w:szCs w:val="22"/>
        </w:rPr>
      </w:pPr>
      <w:bookmarkStart w:id="90" w:name="_Toc533758190"/>
      <w:bookmarkStart w:id="91" w:name="_Toc533784382"/>
      <w:bookmarkStart w:id="92" w:name="_Toc533979337"/>
      <w:bookmarkStart w:id="93" w:name="_Toc534027994"/>
      <w:r>
        <w:rPr>
          <w:rFonts w:ascii="Bookman Old Style" w:hAnsi="Bookman Old Style"/>
          <w:b/>
          <w:sz w:val="22"/>
          <w:szCs w:val="22"/>
        </w:rPr>
        <w:t>M</w:t>
      </w:r>
      <w:r w:rsidRPr="00D23905">
        <w:rPr>
          <w:rFonts w:ascii="Bookman Old Style" w:hAnsi="Bookman Old Style"/>
          <w:b/>
          <w:sz w:val="22"/>
          <w:szCs w:val="22"/>
        </w:rPr>
        <w:t xml:space="preserve">odifiche al fondo rotativo </w:t>
      </w:r>
      <w:r>
        <w:rPr>
          <w:rFonts w:ascii="Bookman Old Style" w:hAnsi="Bookman Old Style"/>
          <w:b/>
          <w:sz w:val="22"/>
          <w:szCs w:val="22"/>
        </w:rPr>
        <w:t xml:space="preserve">CDP </w:t>
      </w:r>
      <w:r w:rsidRPr="00D23905">
        <w:rPr>
          <w:rFonts w:ascii="Bookman Old Style" w:hAnsi="Bookman Old Style"/>
          <w:b/>
          <w:sz w:val="22"/>
          <w:szCs w:val="22"/>
        </w:rPr>
        <w:t>per la progettualit</w:t>
      </w:r>
      <w:r>
        <w:rPr>
          <w:rFonts w:ascii="Bookman Old Style" w:hAnsi="Bookman Old Style"/>
          <w:b/>
          <w:sz w:val="22"/>
          <w:szCs w:val="22"/>
        </w:rPr>
        <w:t>à</w:t>
      </w:r>
      <w:r w:rsidRPr="00D23905">
        <w:rPr>
          <w:rFonts w:ascii="Bookman Old Style" w:hAnsi="Bookman Old Style"/>
          <w:b/>
          <w:sz w:val="22"/>
          <w:szCs w:val="22"/>
        </w:rPr>
        <w:t xml:space="preserve"> (commi 171</w:t>
      </w:r>
      <w:bookmarkEnd w:id="90"/>
      <w:r w:rsidRPr="00D23905">
        <w:rPr>
          <w:rFonts w:ascii="Bookman Old Style" w:hAnsi="Bookman Old Style"/>
          <w:b/>
          <w:sz w:val="22"/>
          <w:szCs w:val="22"/>
        </w:rPr>
        <w:t>-175)</w:t>
      </w:r>
      <w:bookmarkEnd w:id="91"/>
      <w:bookmarkEnd w:id="92"/>
      <w:bookmarkEnd w:id="93"/>
    </w:p>
    <w:p w:rsidR="00D23905" w:rsidRDefault="00D23905" w:rsidP="00D23905">
      <w:pPr>
        <w:pStyle w:val="NormaleWeb"/>
        <w:spacing w:before="0" w:beforeAutospacing="0" w:after="80" w:afterAutospacing="0" w:line="300" w:lineRule="atLeast"/>
        <w:jc w:val="both"/>
        <w:rPr>
          <w:rFonts w:ascii="Bookman Old Style" w:hAnsi="Bookman Old Style"/>
          <w:sz w:val="22"/>
          <w:szCs w:val="22"/>
        </w:rPr>
      </w:pPr>
      <w:r>
        <w:rPr>
          <w:rFonts w:ascii="Bookman Old Style" w:hAnsi="Bookman Old Style"/>
          <w:sz w:val="22"/>
          <w:szCs w:val="22"/>
        </w:rPr>
        <w:t xml:space="preserve">I </w:t>
      </w:r>
      <w:r w:rsidRPr="00F75BA7">
        <w:rPr>
          <w:rFonts w:ascii="Bookman Old Style" w:hAnsi="Bookman Old Style"/>
          <w:b/>
          <w:sz w:val="22"/>
          <w:szCs w:val="22"/>
        </w:rPr>
        <w:t xml:space="preserve">commi da </w:t>
      </w:r>
      <w:r w:rsidR="00F75BA7" w:rsidRPr="00F75BA7">
        <w:rPr>
          <w:rFonts w:ascii="Bookman Old Style" w:hAnsi="Bookman Old Style"/>
          <w:b/>
          <w:sz w:val="22"/>
          <w:szCs w:val="22"/>
        </w:rPr>
        <w:t>171 a 175</w:t>
      </w:r>
      <w:r w:rsidR="00F75BA7">
        <w:rPr>
          <w:rFonts w:ascii="Bookman Old Style" w:hAnsi="Bookman Old Style"/>
          <w:sz w:val="22"/>
          <w:szCs w:val="22"/>
        </w:rPr>
        <w:t xml:space="preserve"> </w:t>
      </w:r>
      <w:r>
        <w:rPr>
          <w:rFonts w:ascii="Bookman Old Style" w:hAnsi="Bookman Old Style"/>
          <w:sz w:val="22"/>
          <w:szCs w:val="22"/>
        </w:rPr>
        <w:t>recano profonde modifiche alle modalità di accesso ed utilizzo del Fondo rotativo per la progettualità gestito dalla Cassa depositi e prestiti istituito dalla legge n. 549/1995, quale misura di rafforzamento della capacità progettuale delle amministrazioni pubbliche finalizzata a favorire la spesa per investimenti pubblici.</w:t>
      </w:r>
    </w:p>
    <w:p w:rsidR="00F75BA7" w:rsidRDefault="00D23905" w:rsidP="00D23905">
      <w:pPr>
        <w:pStyle w:val="NormaleWeb"/>
        <w:spacing w:before="0" w:beforeAutospacing="0" w:after="80" w:afterAutospacing="0" w:line="300" w:lineRule="atLeast"/>
        <w:jc w:val="both"/>
        <w:rPr>
          <w:rFonts w:ascii="Bookman Old Style" w:hAnsi="Bookman Old Style"/>
          <w:sz w:val="22"/>
          <w:szCs w:val="22"/>
        </w:rPr>
      </w:pPr>
      <w:r>
        <w:rPr>
          <w:rFonts w:ascii="Bookman Old Style" w:hAnsi="Bookman Old Style"/>
          <w:sz w:val="22"/>
          <w:szCs w:val="22"/>
        </w:rPr>
        <w:t>Tra le modifiche di maggior rilievo si segnalano: l’utilizzo delle risorse del Fondo anche per i contratti di Partenariato Pubblico-Privato, per la redazione delle valutazioni di impatto ambientale e dei documenti componenti tutti i livelli progettuali previsti dalla normativa vigente, per il dissesto idro-geologico e per la prevenzione del rischio sismico, nonché la complementarietà del Fondo con analoghi fondi istituiti a supporto delle attività di progettazione (</w:t>
      </w:r>
      <w:r w:rsidRPr="00F75BA7">
        <w:rPr>
          <w:rFonts w:ascii="Bookman Old Style" w:hAnsi="Bookman Old Style"/>
          <w:b/>
          <w:sz w:val="22"/>
          <w:szCs w:val="22"/>
        </w:rPr>
        <w:t>co</w:t>
      </w:r>
      <w:proofErr w:type="spellStart"/>
      <w:r w:rsidRPr="00F75BA7">
        <w:rPr>
          <w:rFonts w:ascii="Bookman Old Style" w:hAnsi="Bookman Old Style"/>
          <w:b/>
          <w:sz w:val="22"/>
          <w:szCs w:val="22"/>
        </w:rPr>
        <w:t>.1</w:t>
      </w:r>
      <w:proofErr w:type="spellEnd"/>
      <w:r w:rsidRPr="00F75BA7">
        <w:rPr>
          <w:rFonts w:ascii="Bookman Old Style" w:hAnsi="Bookman Old Style"/>
          <w:b/>
          <w:sz w:val="22"/>
          <w:szCs w:val="22"/>
        </w:rPr>
        <w:t>71, lett. a</w:t>
      </w:r>
      <w:r>
        <w:rPr>
          <w:rFonts w:ascii="Bookman Old Style" w:hAnsi="Bookman Old Style"/>
          <w:sz w:val="22"/>
          <w:szCs w:val="22"/>
        </w:rPr>
        <w:t xml:space="preserve">). </w:t>
      </w:r>
    </w:p>
    <w:p w:rsidR="00D23905" w:rsidRDefault="00D23905" w:rsidP="00D23905">
      <w:pPr>
        <w:pStyle w:val="NormaleWeb"/>
        <w:spacing w:before="0" w:beforeAutospacing="0" w:after="80" w:afterAutospacing="0" w:line="300" w:lineRule="atLeast"/>
        <w:jc w:val="both"/>
        <w:rPr>
          <w:rFonts w:ascii="Bookman Old Style" w:hAnsi="Bookman Old Style"/>
          <w:sz w:val="22"/>
          <w:szCs w:val="22"/>
        </w:rPr>
      </w:pPr>
      <w:r>
        <w:rPr>
          <w:rFonts w:ascii="Bookman Old Style" w:hAnsi="Bookman Old Style"/>
          <w:sz w:val="22"/>
          <w:szCs w:val="22"/>
        </w:rPr>
        <w:t xml:space="preserve">Le norme regolano inoltre i rapporti tra </w:t>
      </w:r>
      <w:proofErr w:type="spellStart"/>
      <w:r>
        <w:rPr>
          <w:rFonts w:ascii="Bookman Old Style" w:hAnsi="Bookman Old Style"/>
          <w:sz w:val="22"/>
          <w:szCs w:val="22"/>
        </w:rPr>
        <w:t>Mef</w:t>
      </w:r>
      <w:proofErr w:type="spellEnd"/>
      <w:r>
        <w:rPr>
          <w:rFonts w:ascii="Bookman Old Style" w:hAnsi="Bookman Old Style"/>
          <w:sz w:val="22"/>
          <w:szCs w:val="22"/>
        </w:rPr>
        <w:t xml:space="preserve"> e </w:t>
      </w:r>
      <w:proofErr w:type="spellStart"/>
      <w:r>
        <w:rPr>
          <w:rFonts w:ascii="Bookman Old Style" w:hAnsi="Bookman Old Style"/>
          <w:sz w:val="22"/>
          <w:szCs w:val="22"/>
        </w:rPr>
        <w:t>Cdp</w:t>
      </w:r>
      <w:proofErr w:type="spellEnd"/>
      <w:r>
        <w:rPr>
          <w:rFonts w:ascii="Bookman Old Style" w:hAnsi="Bookman Old Style"/>
          <w:sz w:val="22"/>
          <w:szCs w:val="22"/>
        </w:rPr>
        <w:t xml:space="preserve"> in caso di mancato rimborso delle anticipazioni del Fondo, le relative modalità di recupero nei confronti degli Enti locali in base alle procedure di cui alla legge n. 228/2012 (</w:t>
      </w:r>
      <w:r w:rsidRPr="00F75BA7">
        <w:rPr>
          <w:rFonts w:ascii="Bookman Old Style" w:hAnsi="Bookman Old Style"/>
          <w:b/>
          <w:sz w:val="22"/>
          <w:szCs w:val="22"/>
        </w:rPr>
        <w:t>co. 171, lett. b</w:t>
      </w:r>
      <w:r>
        <w:rPr>
          <w:rFonts w:ascii="Bookman Old Style" w:hAnsi="Bookman Old Style"/>
          <w:sz w:val="22"/>
          <w:szCs w:val="22"/>
        </w:rPr>
        <w:t xml:space="preserve">), le competenze di </w:t>
      </w:r>
      <w:proofErr w:type="spellStart"/>
      <w:r>
        <w:rPr>
          <w:rFonts w:ascii="Bookman Old Style" w:hAnsi="Bookman Old Style"/>
          <w:sz w:val="22"/>
          <w:szCs w:val="22"/>
        </w:rPr>
        <w:t>Cdp</w:t>
      </w:r>
      <w:proofErr w:type="spellEnd"/>
      <w:r>
        <w:rPr>
          <w:rFonts w:ascii="Bookman Old Style" w:hAnsi="Bookman Old Style"/>
          <w:sz w:val="22"/>
          <w:szCs w:val="22"/>
        </w:rPr>
        <w:t xml:space="preserve"> in ordine alla individuazione delle modalità e della documentazione necessaria per l’accesso al Fondo (</w:t>
      </w:r>
      <w:r w:rsidRPr="00F75BA7">
        <w:rPr>
          <w:rFonts w:ascii="Bookman Old Style" w:hAnsi="Bookman Old Style"/>
          <w:b/>
          <w:sz w:val="22"/>
          <w:szCs w:val="22"/>
        </w:rPr>
        <w:t>co. 171, lett. c, d, e</w:t>
      </w:r>
      <w:r>
        <w:rPr>
          <w:rFonts w:ascii="Bookman Old Style" w:hAnsi="Bookman Old Style"/>
          <w:sz w:val="22"/>
          <w:szCs w:val="22"/>
        </w:rPr>
        <w:t>), le priorità di utilizzo, nel limite del 30 per cento e fino al 2020, per le esigenze progettuali degli interventi di edilizia scolastica (</w:t>
      </w:r>
      <w:r w:rsidRPr="00F75BA7">
        <w:rPr>
          <w:rFonts w:ascii="Bookman Old Style" w:hAnsi="Bookman Old Style"/>
          <w:b/>
          <w:sz w:val="22"/>
          <w:szCs w:val="22"/>
        </w:rPr>
        <w:t>co. 173</w:t>
      </w:r>
      <w:r>
        <w:rPr>
          <w:rFonts w:ascii="Bookman Old Style" w:hAnsi="Bookman Old Style"/>
          <w:sz w:val="22"/>
          <w:szCs w:val="22"/>
        </w:rPr>
        <w:t>), il potenziamento delle attività di progettazione di fattibilità per opere da realizzare mediante contratti di PPP (</w:t>
      </w:r>
      <w:r w:rsidRPr="00F75BA7">
        <w:rPr>
          <w:rFonts w:ascii="Bookman Old Style" w:hAnsi="Bookman Old Style"/>
          <w:b/>
          <w:sz w:val="22"/>
          <w:szCs w:val="22"/>
        </w:rPr>
        <w:t>co. 174</w:t>
      </w:r>
      <w:r>
        <w:rPr>
          <w:rFonts w:ascii="Bookman Old Style" w:hAnsi="Bookman Old Style"/>
          <w:sz w:val="22"/>
          <w:szCs w:val="22"/>
        </w:rPr>
        <w:t xml:space="preserve">). </w:t>
      </w:r>
      <w:r w:rsidR="00F75BA7">
        <w:rPr>
          <w:rFonts w:ascii="Bookman Old Style" w:hAnsi="Bookman Old Style"/>
          <w:sz w:val="22"/>
          <w:szCs w:val="22"/>
        </w:rPr>
        <w:t xml:space="preserve">Il </w:t>
      </w:r>
      <w:r w:rsidR="00F75BA7" w:rsidRPr="00F75BA7">
        <w:rPr>
          <w:rFonts w:ascii="Bookman Old Style" w:hAnsi="Bookman Old Style"/>
          <w:b/>
          <w:sz w:val="22"/>
          <w:szCs w:val="22"/>
        </w:rPr>
        <w:t>comma 175</w:t>
      </w:r>
      <w:r w:rsidR="00F75BA7">
        <w:rPr>
          <w:rFonts w:ascii="Bookman Old Style" w:hAnsi="Bookman Old Style"/>
          <w:b/>
          <w:sz w:val="22"/>
          <w:szCs w:val="22"/>
        </w:rPr>
        <w:t xml:space="preserve"> </w:t>
      </w:r>
      <w:r w:rsidR="00F75BA7">
        <w:rPr>
          <w:rFonts w:ascii="Bookman Old Style" w:hAnsi="Bookman Old Style"/>
          <w:sz w:val="22"/>
          <w:szCs w:val="22"/>
        </w:rPr>
        <w:t xml:space="preserve">regola la transizione alle nuove regole in attesa di un decreto attuativo del </w:t>
      </w:r>
      <w:proofErr w:type="spellStart"/>
      <w:r w:rsidR="00F75BA7">
        <w:rPr>
          <w:rFonts w:ascii="Bookman Old Style" w:hAnsi="Bookman Old Style"/>
          <w:sz w:val="22"/>
          <w:szCs w:val="22"/>
        </w:rPr>
        <w:t>Mef</w:t>
      </w:r>
      <w:proofErr w:type="spellEnd"/>
      <w:r w:rsidR="00F75BA7">
        <w:rPr>
          <w:rFonts w:ascii="Bookman Old Style" w:hAnsi="Bookman Old Style"/>
          <w:sz w:val="22"/>
          <w:szCs w:val="22"/>
        </w:rPr>
        <w:t>.</w:t>
      </w:r>
    </w:p>
    <w:p w:rsidR="00C409BE" w:rsidRDefault="00C409BE" w:rsidP="00D23905">
      <w:pPr>
        <w:pStyle w:val="NormaleWeb"/>
        <w:spacing w:before="0" w:beforeAutospacing="0" w:after="80" w:afterAutospacing="0" w:line="300" w:lineRule="atLeast"/>
        <w:jc w:val="both"/>
        <w:rPr>
          <w:rFonts w:ascii="Bookman Old Style" w:hAnsi="Bookman Old Style"/>
          <w:sz w:val="22"/>
          <w:szCs w:val="22"/>
        </w:rPr>
      </w:pPr>
    </w:p>
    <w:p w:rsidR="00C409BE" w:rsidRPr="00131209" w:rsidRDefault="00C409BE" w:rsidP="00C409BE">
      <w:pPr>
        <w:pStyle w:val="Titolo2"/>
        <w:ind w:firstLine="0"/>
        <w:rPr>
          <w:rFonts w:ascii="Bookman Old Style" w:hAnsi="Bookman Old Style"/>
          <w:b/>
          <w:sz w:val="22"/>
          <w:szCs w:val="22"/>
        </w:rPr>
      </w:pPr>
      <w:bookmarkStart w:id="94" w:name="_Toc533979338"/>
      <w:bookmarkStart w:id="95" w:name="_Toc534027995"/>
      <w:r w:rsidRPr="00131209">
        <w:rPr>
          <w:rFonts w:ascii="Bookman Old Style" w:hAnsi="Bookman Old Style"/>
          <w:b/>
          <w:sz w:val="22"/>
          <w:szCs w:val="22"/>
        </w:rPr>
        <w:t>INVESTITALIA</w:t>
      </w:r>
      <w:bookmarkEnd w:id="94"/>
      <w:bookmarkEnd w:id="95"/>
    </w:p>
    <w:p w:rsidR="00C409BE" w:rsidRPr="00051A6E" w:rsidRDefault="00C409BE" w:rsidP="00C409BE">
      <w:pPr>
        <w:shd w:val="clear" w:color="auto" w:fill="FFFFFF"/>
        <w:spacing w:before="30" w:after="30"/>
        <w:ind w:left="30" w:firstLine="0"/>
        <w:rPr>
          <w:rFonts w:ascii="Bookman Old Style" w:hAnsi="Bookman Old Style"/>
          <w:color w:val="000000"/>
        </w:rPr>
      </w:pPr>
      <w:r>
        <w:rPr>
          <w:rFonts w:ascii="Bookman Old Style" w:hAnsi="Bookman Old Style"/>
          <w:color w:val="000000"/>
        </w:rPr>
        <w:t xml:space="preserve">Con </w:t>
      </w:r>
      <w:r w:rsidRPr="00F07ADF">
        <w:rPr>
          <w:rFonts w:ascii="Bookman Old Style" w:hAnsi="Bookman Old Style"/>
          <w:b/>
          <w:color w:val="000000"/>
        </w:rPr>
        <w:t>il comma 179</w:t>
      </w:r>
      <w:r>
        <w:rPr>
          <w:rFonts w:ascii="Bookman Old Style" w:hAnsi="Bookman Old Style"/>
          <w:color w:val="000000"/>
        </w:rPr>
        <w:t xml:space="preserve"> viene istituita, attraverso apposito</w:t>
      </w:r>
      <w:r w:rsidRPr="00051A6E">
        <w:rPr>
          <w:rFonts w:ascii="Bookman Old Style" w:hAnsi="Bookman Old Style"/>
          <w:color w:val="000000"/>
        </w:rPr>
        <w:t xml:space="preserve"> </w:t>
      </w:r>
      <w:r>
        <w:rPr>
          <w:rFonts w:ascii="Bookman Old Style" w:hAnsi="Bookman Old Style"/>
          <w:color w:val="000000"/>
        </w:rPr>
        <w:t xml:space="preserve">DPCM </w:t>
      </w:r>
      <w:r w:rsidRPr="00051A6E">
        <w:rPr>
          <w:rFonts w:ascii="Bookman Old Style" w:hAnsi="Bookman Old Style"/>
          <w:color w:val="000000"/>
        </w:rPr>
        <w:t>una Struttura di missione, denominata "</w:t>
      </w:r>
      <w:proofErr w:type="spellStart"/>
      <w:r w:rsidRPr="00051A6E">
        <w:rPr>
          <w:rFonts w:ascii="Bookman Old Style" w:hAnsi="Bookman Old Style"/>
          <w:color w:val="000000"/>
        </w:rPr>
        <w:t>InvestItalia</w:t>
      </w:r>
      <w:proofErr w:type="spellEnd"/>
      <w:r w:rsidRPr="00051A6E">
        <w:rPr>
          <w:rFonts w:ascii="Bookman Old Style" w:hAnsi="Bookman Old Style"/>
          <w:color w:val="000000"/>
        </w:rPr>
        <w:t xml:space="preserve">", per il supporto alle attività del Presidente del Consiglio dei Ministri </w:t>
      </w:r>
      <w:r>
        <w:rPr>
          <w:rFonts w:ascii="Bookman Old Style" w:hAnsi="Bookman Old Style"/>
          <w:color w:val="000000"/>
        </w:rPr>
        <w:t xml:space="preserve">nel </w:t>
      </w:r>
      <w:r w:rsidRPr="00051A6E">
        <w:rPr>
          <w:rFonts w:ascii="Bookman Old Style" w:hAnsi="Bookman Old Style"/>
          <w:color w:val="000000"/>
        </w:rPr>
        <w:t xml:space="preserve">coordinamento </w:t>
      </w:r>
      <w:proofErr w:type="spellStart"/>
      <w:r>
        <w:rPr>
          <w:rFonts w:ascii="Bookman Old Style" w:hAnsi="Bookman Old Style"/>
          <w:color w:val="000000"/>
        </w:rPr>
        <w:t>dell</w:t>
      </w:r>
      <w:proofErr w:type="spellEnd"/>
      <w:r>
        <w:rPr>
          <w:rFonts w:ascii="Bookman Old Style" w:hAnsi="Bookman Old Style"/>
          <w:color w:val="000000"/>
        </w:rPr>
        <w:t xml:space="preserve"> sviluppo di </w:t>
      </w:r>
      <w:r w:rsidRPr="00051A6E">
        <w:rPr>
          <w:rFonts w:ascii="Bookman Old Style" w:hAnsi="Bookman Old Style"/>
          <w:color w:val="000000"/>
        </w:rPr>
        <w:t>investimenti pubblici e privati.</w:t>
      </w:r>
    </w:p>
    <w:p w:rsidR="00C409BE" w:rsidRPr="00051A6E" w:rsidRDefault="00C409BE" w:rsidP="00C409BE">
      <w:pPr>
        <w:shd w:val="clear" w:color="auto" w:fill="FFFFFF"/>
        <w:spacing w:before="30" w:after="30"/>
        <w:ind w:left="30" w:firstLine="0"/>
        <w:rPr>
          <w:rFonts w:ascii="Bookman Old Style" w:hAnsi="Bookman Old Style"/>
          <w:color w:val="000000"/>
        </w:rPr>
      </w:pPr>
      <w:r>
        <w:rPr>
          <w:rFonts w:ascii="Bookman Old Style" w:hAnsi="Bookman Old Style"/>
          <w:color w:val="000000"/>
        </w:rPr>
        <w:t>Vengono attribuiti</w:t>
      </w:r>
      <w:r w:rsidRPr="00051A6E">
        <w:rPr>
          <w:rFonts w:ascii="Bookman Old Style" w:hAnsi="Bookman Old Style"/>
          <w:color w:val="000000"/>
        </w:rPr>
        <w:t xml:space="preserve"> alla struttura compiti di analisi e valutazione di programmi di investimento e di riammodernamento delle infrastrutture delle PP.AA.; di verifica degli stati di avanzamento dei progetti; di elaborazione di studi di fattibilità economico-giuridico e di soluzioni operative in materia di investimento in collaborazione con i competenti Uffici dei Ministeri; ogni altra attività o funzione che, in ambiti economici o giuridici, le sia demandata dal Presidente del Consiglio dei ministri.</w:t>
      </w:r>
    </w:p>
    <w:p w:rsidR="00C409BE" w:rsidRPr="00051A6E" w:rsidRDefault="00C409BE" w:rsidP="00C409BE">
      <w:pPr>
        <w:shd w:val="clear" w:color="auto" w:fill="FFFFFF"/>
        <w:spacing w:before="30" w:after="30"/>
        <w:ind w:left="30" w:firstLine="0"/>
        <w:rPr>
          <w:rFonts w:ascii="Bookman Old Style" w:hAnsi="Bookman Old Style"/>
          <w:color w:val="000000"/>
        </w:rPr>
      </w:pPr>
      <w:r>
        <w:rPr>
          <w:rFonts w:ascii="Bookman Old Style" w:hAnsi="Bookman Old Style"/>
          <w:color w:val="000000"/>
        </w:rPr>
        <w:t>E’ assegnato</w:t>
      </w:r>
      <w:r w:rsidRPr="00051A6E">
        <w:rPr>
          <w:rFonts w:ascii="Bookman Old Style" w:hAnsi="Bookman Old Style"/>
          <w:color w:val="000000"/>
        </w:rPr>
        <w:t xml:space="preserve"> a "</w:t>
      </w:r>
      <w:proofErr w:type="spellStart"/>
      <w:r w:rsidRPr="00051A6E">
        <w:rPr>
          <w:rFonts w:ascii="Bookman Old Style" w:hAnsi="Bookman Old Style"/>
          <w:color w:val="000000"/>
        </w:rPr>
        <w:t>InvestItalia</w:t>
      </w:r>
      <w:proofErr w:type="spellEnd"/>
      <w:r w:rsidRPr="00051A6E">
        <w:rPr>
          <w:rFonts w:ascii="Bookman Old Style" w:hAnsi="Bookman Old Style"/>
          <w:color w:val="000000"/>
        </w:rPr>
        <w:t>” un contingente di personale, anche estraneo alla P.A., dotato di elevata qualificazione scientifica e professionale, individuato tramite procedure che assicurino pubblicità, imparzialità e trasparenza delle selezioni.</w:t>
      </w:r>
    </w:p>
    <w:p w:rsidR="00054239" w:rsidRPr="00365BD9" w:rsidRDefault="00C409BE" w:rsidP="006537DF">
      <w:pPr>
        <w:shd w:val="clear" w:color="auto" w:fill="FFFFFF"/>
        <w:spacing w:before="30" w:after="30"/>
        <w:ind w:left="30" w:firstLine="0"/>
        <w:rPr>
          <w:rFonts w:ascii="Bookman Old Style" w:hAnsi="Bookman Old Style"/>
          <w:iCs/>
          <w:szCs w:val="22"/>
        </w:rPr>
      </w:pPr>
      <w:r>
        <w:rPr>
          <w:rFonts w:ascii="Bookman Old Style" w:hAnsi="Bookman Old Style"/>
          <w:color w:val="000000"/>
        </w:rPr>
        <w:t>La norma s</w:t>
      </w:r>
      <w:r w:rsidRPr="00051A6E">
        <w:rPr>
          <w:rFonts w:ascii="Bookman Old Style" w:hAnsi="Bookman Old Style"/>
          <w:color w:val="000000"/>
        </w:rPr>
        <w:t xml:space="preserve">tabilisce che </w:t>
      </w:r>
      <w:proofErr w:type="spellStart"/>
      <w:r w:rsidRPr="00051A6E">
        <w:rPr>
          <w:rFonts w:ascii="Bookman Old Style" w:hAnsi="Bookman Old Style"/>
          <w:color w:val="000000"/>
        </w:rPr>
        <w:t>InvestItalia</w:t>
      </w:r>
      <w:proofErr w:type="spellEnd"/>
      <w:r w:rsidRPr="00051A6E">
        <w:rPr>
          <w:rFonts w:ascii="Bookman Old Style" w:hAnsi="Bookman Old Style"/>
          <w:color w:val="000000"/>
        </w:rPr>
        <w:t>, posta alle dirette dipendenze del Presidente del Consiglio, opera anche in raccordo con la Cabina di regia Strategia Italia di cui all'articolo 40 del decreto-legge n. 109 del 2018.</w:t>
      </w:r>
      <w:r>
        <w:rPr>
          <w:rFonts w:ascii="Bookman Old Style" w:hAnsi="Bookman Old Style"/>
          <w:color w:val="000000"/>
        </w:rPr>
        <w:t xml:space="preserve"> Viene autorizzata</w:t>
      </w:r>
      <w:r w:rsidRPr="00051A6E">
        <w:rPr>
          <w:rFonts w:ascii="Bookman Old Style" w:hAnsi="Bookman Old Style"/>
          <w:color w:val="000000"/>
        </w:rPr>
        <w:t xml:space="preserve"> per l'attuazione dell'articolo e per lo svolgimento dei compiti di “</w:t>
      </w:r>
      <w:proofErr w:type="spellStart"/>
      <w:r w:rsidRPr="00051A6E">
        <w:rPr>
          <w:rFonts w:ascii="Bookman Old Style" w:hAnsi="Bookman Old Style"/>
          <w:color w:val="000000"/>
        </w:rPr>
        <w:t>InvestItalia</w:t>
      </w:r>
      <w:proofErr w:type="spellEnd"/>
      <w:r w:rsidRPr="00051A6E">
        <w:rPr>
          <w:rFonts w:ascii="Bookman Old Style" w:hAnsi="Bookman Old Style"/>
          <w:color w:val="000000"/>
        </w:rPr>
        <w:t>” una spesa di 25 milioni di euro annui a decorrere dall’anno</w:t>
      </w:r>
      <w:r w:rsidRPr="006537DF">
        <w:rPr>
          <w:rFonts w:ascii="Bookman Old Style" w:hAnsi="Bookman Old Style"/>
          <w:color w:val="000000"/>
        </w:rPr>
        <w:t xml:space="preserve"> 2019.</w:t>
      </w:r>
      <w:r w:rsidR="00054239" w:rsidRPr="006537DF">
        <w:rPr>
          <w:rFonts w:ascii="Bookman Old Style" w:hAnsi="Bookman Old Style"/>
          <w:color w:val="000000"/>
        </w:rPr>
        <w:t xml:space="preserve"> Il comma 368 prevede che, con rifer</w:t>
      </w:r>
      <w:r w:rsidR="006537DF" w:rsidRPr="006537DF">
        <w:rPr>
          <w:rFonts w:ascii="Bookman Old Style" w:hAnsi="Bookman Old Style"/>
          <w:color w:val="000000"/>
        </w:rPr>
        <w:t xml:space="preserve">imento agli investimenti locali, </w:t>
      </w:r>
      <w:proofErr w:type="spellStart"/>
      <w:r w:rsidR="006537DF" w:rsidRPr="006537DF">
        <w:rPr>
          <w:rFonts w:ascii="Bookman Old Style" w:hAnsi="Bookman Old Style"/>
          <w:color w:val="000000"/>
        </w:rPr>
        <w:t>Investitalia</w:t>
      </w:r>
      <w:proofErr w:type="spellEnd"/>
      <w:r w:rsidR="006537DF" w:rsidRPr="006537DF">
        <w:rPr>
          <w:rFonts w:ascii="Bookman Old Style" w:hAnsi="Bookman Old Style"/>
          <w:color w:val="000000"/>
        </w:rPr>
        <w:t xml:space="preserve"> si avvale della collaborazione tecnica della F</w:t>
      </w:r>
      <w:r w:rsidR="00054239" w:rsidRPr="006537DF">
        <w:rPr>
          <w:rFonts w:ascii="Bookman Old Style" w:hAnsi="Bookman Old Style"/>
          <w:szCs w:val="22"/>
        </w:rPr>
        <w:t xml:space="preserve">ondazione Patrimonio comune </w:t>
      </w:r>
      <w:r w:rsidR="006537DF" w:rsidRPr="006537DF">
        <w:rPr>
          <w:rFonts w:ascii="Bookman Old Style" w:hAnsi="Bookman Old Style"/>
          <w:szCs w:val="22"/>
        </w:rPr>
        <w:t>dell’</w:t>
      </w:r>
      <w:r w:rsidR="00054239" w:rsidRPr="006537DF">
        <w:rPr>
          <w:rFonts w:ascii="Bookman Old Style" w:hAnsi="Bookman Old Style"/>
          <w:szCs w:val="22"/>
        </w:rPr>
        <w:t>Anci</w:t>
      </w:r>
      <w:r w:rsidR="006537DF" w:rsidRPr="006537DF">
        <w:rPr>
          <w:rFonts w:ascii="Bookman Old Style" w:hAnsi="Bookman Old Style"/>
          <w:szCs w:val="22"/>
        </w:rPr>
        <w:t>.</w:t>
      </w:r>
      <w:r w:rsidR="00054239" w:rsidRPr="006537DF">
        <w:rPr>
          <w:rFonts w:ascii="Bookman Old Style" w:hAnsi="Bookman Old Style"/>
          <w:szCs w:val="22"/>
        </w:rPr>
        <w:t xml:space="preserve"> </w:t>
      </w:r>
    </w:p>
    <w:p w:rsidR="00C409BE" w:rsidRPr="00051A6E" w:rsidRDefault="00C409BE" w:rsidP="00C409BE">
      <w:pPr>
        <w:tabs>
          <w:tab w:val="left" w:pos="3285"/>
        </w:tabs>
        <w:spacing w:before="60" w:after="60" w:line="240" w:lineRule="auto"/>
        <w:ind w:firstLine="0"/>
        <w:rPr>
          <w:rFonts w:ascii="Bookman Old Style" w:hAnsi="Bookman Old Style"/>
          <w:b/>
          <w:i/>
          <w:iCs/>
          <w:szCs w:val="22"/>
        </w:rPr>
      </w:pPr>
    </w:p>
    <w:p w:rsidR="001B56B7" w:rsidRDefault="001B56B7" w:rsidP="00D23905">
      <w:pPr>
        <w:pStyle w:val="Titolo2"/>
        <w:spacing w:before="0" w:after="80"/>
        <w:ind w:firstLine="0"/>
        <w:rPr>
          <w:rFonts w:ascii="Bookman Old Style" w:hAnsi="Bookman Old Style"/>
          <w:b/>
          <w:sz w:val="22"/>
          <w:szCs w:val="22"/>
        </w:rPr>
      </w:pPr>
    </w:p>
    <w:p w:rsidR="00350856" w:rsidRDefault="003F7C63" w:rsidP="003F7C63">
      <w:pPr>
        <w:pStyle w:val="Titolo1"/>
        <w:rPr>
          <w:rFonts w:ascii="Bookman Old Style" w:eastAsiaTheme="minorHAnsi" w:hAnsi="Bookman Old Style"/>
          <w:b/>
          <w:sz w:val="24"/>
          <w:szCs w:val="24"/>
          <w:lang w:eastAsia="en-US"/>
        </w:rPr>
      </w:pPr>
      <w:bookmarkStart w:id="96" w:name="_Toc533979339"/>
      <w:bookmarkStart w:id="97" w:name="_Toc534027996"/>
      <w:r w:rsidRPr="003F7C63">
        <w:rPr>
          <w:rFonts w:ascii="Bookman Old Style" w:eastAsiaTheme="minorHAnsi" w:hAnsi="Bookman Old Style"/>
          <w:b/>
          <w:sz w:val="24"/>
          <w:szCs w:val="24"/>
          <w:lang w:eastAsia="en-US"/>
        </w:rPr>
        <w:t>ALTRE NORME FINANZIARIE</w:t>
      </w:r>
      <w:bookmarkEnd w:id="96"/>
      <w:bookmarkEnd w:id="97"/>
    </w:p>
    <w:p w:rsidR="00D23905" w:rsidRPr="00D23905" w:rsidRDefault="00D23905" w:rsidP="00D23905">
      <w:pPr>
        <w:pStyle w:val="Titolo2"/>
        <w:ind w:firstLine="0"/>
        <w:rPr>
          <w:rFonts w:ascii="Bookman Old Style" w:hAnsi="Bookman Old Style"/>
          <w:b/>
          <w:sz w:val="22"/>
          <w:szCs w:val="22"/>
        </w:rPr>
      </w:pPr>
      <w:bookmarkStart w:id="98" w:name="_Toc533979340"/>
      <w:bookmarkStart w:id="99" w:name="_Toc534027997"/>
      <w:bookmarkStart w:id="100" w:name="_Toc533784380"/>
      <w:r>
        <w:rPr>
          <w:rFonts w:ascii="Bookman Old Style" w:hAnsi="Bookman Old Style"/>
          <w:b/>
          <w:sz w:val="22"/>
          <w:szCs w:val="22"/>
        </w:rPr>
        <w:t>R</w:t>
      </w:r>
      <w:r w:rsidRPr="00D23905">
        <w:rPr>
          <w:rFonts w:ascii="Bookman Old Style" w:hAnsi="Bookman Old Style"/>
          <w:b/>
          <w:sz w:val="22"/>
          <w:szCs w:val="22"/>
        </w:rPr>
        <w:t xml:space="preserve">inegoziazione prestiti gestiti </w:t>
      </w:r>
      <w:r>
        <w:rPr>
          <w:rFonts w:ascii="Bookman Old Style" w:hAnsi="Bookman Old Style"/>
          <w:b/>
          <w:sz w:val="22"/>
          <w:szCs w:val="22"/>
        </w:rPr>
        <w:t xml:space="preserve">da CDP </w:t>
      </w:r>
      <w:r w:rsidRPr="00D23905">
        <w:rPr>
          <w:rFonts w:ascii="Bookman Old Style" w:hAnsi="Bookman Old Style"/>
          <w:b/>
          <w:sz w:val="22"/>
          <w:szCs w:val="22"/>
        </w:rPr>
        <w:t xml:space="preserve">per conto del </w:t>
      </w:r>
      <w:proofErr w:type="spellStart"/>
      <w:r>
        <w:rPr>
          <w:rFonts w:ascii="Bookman Old Style" w:hAnsi="Bookman Old Style"/>
          <w:b/>
          <w:sz w:val="22"/>
          <w:szCs w:val="22"/>
        </w:rPr>
        <w:t>Mef</w:t>
      </w:r>
      <w:bookmarkEnd w:id="98"/>
      <w:bookmarkEnd w:id="99"/>
      <w:proofErr w:type="spellEnd"/>
      <w:r>
        <w:rPr>
          <w:rFonts w:ascii="Bookman Old Style" w:hAnsi="Bookman Old Style"/>
          <w:b/>
          <w:sz w:val="22"/>
          <w:szCs w:val="22"/>
        </w:rPr>
        <w:t xml:space="preserve"> </w:t>
      </w:r>
      <w:bookmarkEnd w:id="100"/>
    </w:p>
    <w:p w:rsidR="00D23905" w:rsidRPr="00D66144" w:rsidRDefault="00D23905" w:rsidP="00F75BA7">
      <w:pPr>
        <w:spacing w:after="80"/>
        <w:ind w:firstLine="0"/>
        <w:rPr>
          <w:rFonts w:ascii="Bookman Old Style" w:hAnsi="Bookman Old Style" w:cs="Calibri"/>
          <w:iCs/>
          <w:color w:val="000000"/>
          <w:szCs w:val="22"/>
        </w:rPr>
      </w:pPr>
      <w:r w:rsidRPr="00D66144">
        <w:rPr>
          <w:rFonts w:ascii="Bookman Old Style" w:hAnsi="Bookman Old Style" w:cs="Calibri"/>
          <w:iCs/>
          <w:color w:val="000000"/>
          <w:szCs w:val="22"/>
        </w:rPr>
        <w:t>I </w:t>
      </w:r>
      <w:r w:rsidRPr="00D66144">
        <w:rPr>
          <w:rFonts w:ascii="Bookman Old Style" w:hAnsi="Bookman Old Style" w:cs="Calibri"/>
          <w:b/>
          <w:bCs/>
          <w:iCs/>
          <w:color w:val="000000"/>
          <w:szCs w:val="22"/>
        </w:rPr>
        <w:t>commi da 961 a 96</w:t>
      </w:r>
      <w:r>
        <w:rPr>
          <w:rFonts w:ascii="Bookman Old Style" w:hAnsi="Bookman Old Style" w:cs="Calibri"/>
          <w:b/>
          <w:bCs/>
          <w:iCs/>
          <w:color w:val="000000"/>
          <w:szCs w:val="22"/>
        </w:rPr>
        <w:t>4</w:t>
      </w:r>
      <w:r w:rsidRPr="00D66144">
        <w:rPr>
          <w:rFonts w:ascii="Bookman Old Style" w:hAnsi="Bookman Old Style" w:cs="Calibri"/>
          <w:b/>
          <w:bCs/>
          <w:iCs/>
          <w:color w:val="000000"/>
          <w:szCs w:val="22"/>
        </w:rPr>
        <w:t xml:space="preserve"> </w:t>
      </w:r>
      <w:r w:rsidRPr="00456A66">
        <w:rPr>
          <w:rFonts w:ascii="Bookman Old Style" w:hAnsi="Bookman Old Style" w:cs="Calibri"/>
          <w:bCs/>
          <w:iCs/>
          <w:color w:val="000000"/>
          <w:szCs w:val="22"/>
        </w:rPr>
        <w:t xml:space="preserve">consentono </w:t>
      </w:r>
      <w:r>
        <w:rPr>
          <w:rFonts w:ascii="Bookman Old Style" w:hAnsi="Bookman Old Style" w:cs="Calibri"/>
          <w:bCs/>
          <w:iCs/>
          <w:color w:val="000000"/>
          <w:szCs w:val="22"/>
        </w:rPr>
        <w:t>l’apertura di</w:t>
      </w:r>
      <w:r w:rsidRPr="00456A66">
        <w:rPr>
          <w:rFonts w:ascii="Bookman Old Style" w:hAnsi="Bookman Old Style" w:cs="Calibri"/>
          <w:bCs/>
          <w:iCs/>
          <w:color w:val="000000"/>
          <w:szCs w:val="22"/>
        </w:rPr>
        <w:t xml:space="preserve"> una tornata di rinegoziazione dei mutui</w:t>
      </w:r>
      <w:r w:rsidRPr="00D66144">
        <w:rPr>
          <w:rFonts w:ascii="Bookman Old Style" w:hAnsi="Bookman Old Style" w:cs="Calibri"/>
          <w:b/>
          <w:bCs/>
          <w:iCs/>
          <w:color w:val="000000"/>
          <w:szCs w:val="22"/>
        </w:rPr>
        <w:t xml:space="preserve"> </w:t>
      </w:r>
      <w:r w:rsidRPr="00D66144">
        <w:rPr>
          <w:rFonts w:ascii="Bookman Old Style" w:hAnsi="Bookman Old Style" w:cs="Calibri"/>
          <w:iCs/>
          <w:color w:val="000000"/>
          <w:szCs w:val="22"/>
        </w:rPr>
        <w:t xml:space="preserve">rimasti nella titolarità del Ministero dell’economia e delle finanza dopo la riforma della Cassa de depositi e prestiti del 2003, sui quali </w:t>
      </w:r>
      <w:proofErr w:type="spellStart"/>
      <w:r w:rsidRPr="00D66144">
        <w:rPr>
          <w:rFonts w:ascii="Bookman Old Style" w:hAnsi="Bookman Old Style" w:cs="Calibri"/>
          <w:iCs/>
          <w:color w:val="000000"/>
          <w:szCs w:val="22"/>
        </w:rPr>
        <w:t>Cdp</w:t>
      </w:r>
      <w:proofErr w:type="spellEnd"/>
      <w:r w:rsidRPr="00D66144">
        <w:rPr>
          <w:rFonts w:ascii="Bookman Old Style" w:hAnsi="Bookman Old Style" w:cs="Calibri"/>
          <w:iCs/>
          <w:color w:val="000000"/>
          <w:szCs w:val="22"/>
        </w:rPr>
        <w:t xml:space="preserve"> mantiene esclusivamente la gestione operativa. I destinatari sono i Comuni, le Province e le Città metropolitane. Lo stock complessivo di tali posizioni debitorie è stimato in circa 2,2 </w:t>
      </w:r>
      <w:proofErr w:type="spellStart"/>
      <w:r w:rsidRPr="00D66144">
        <w:rPr>
          <w:rFonts w:ascii="Bookman Old Style" w:hAnsi="Bookman Old Style" w:cs="Calibri"/>
          <w:iCs/>
          <w:color w:val="000000"/>
          <w:szCs w:val="22"/>
        </w:rPr>
        <w:t>mld</w:t>
      </w:r>
      <w:proofErr w:type="spellEnd"/>
      <w:r w:rsidRPr="00D66144">
        <w:rPr>
          <w:rFonts w:ascii="Bookman Old Style" w:hAnsi="Bookman Old Style" w:cs="Calibri"/>
          <w:iCs/>
          <w:color w:val="000000"/>
          <w:szCs w:val="22"/>
        </w:rPr>
        <w:t xml:space="preserve"> di euro. Dalle operazioni di rinegoziazione dovrà derivare una riduzione del valore finanziario delle passività totali</w:t>
      </w:r>
      <w:r w:rsidR="00F75BA7">
        <w:rPr>
          <w:rFonts w:ascii="Bookman Old Style" w:hAnsi="Bookman Old Style" w:cs="Calibri"/>
          <w:iCs/>
          <w:color w:val="000000"/>
          <w:szCs w:val="22"/>
        </w:rPr>
        <w:t xml:space="preserve">; in altri termini l’operazione ora attivata, diversamente da precedenti operazioni di rinegoziazione riguardanti i mutui Cassa depositi e prestiti, </w:t>
      </w:r>
      <w:r w:rsidR="00F75BA7" w:rsidRPr="00F75BA7">
        <w:rPr>
          <w:rFonts w:ascii="Bookman Old Style" w:hAnsi="Bookman Old Style" w:cs="Calibri"/>
          <w:i/>
          <w:iCs/>
          <w:color w:val="000000"/>
          <w:szCs w:val="22"/>
        </w:rPr>
        <w:t>ristruttura</w:t>
      </w:r>
      <w:r w:rsidR="00F75BA7">
        <w:rPr>
          <w:rFonts w:ascii="Bookman Old Style" w:hAnsi="Bookman Old Style" w:cs="Calibri"/>
          <w:iCs/>
          <w:color w:val="000000"/>
          <w:szCs w:val="22"/>
        </w:rPr>
        <w:t xml:space="preserve"> il debito locale tenendo conto della discesa dei tassi di interesse intervenuta negli ultimi anni, diminuendo l’onere per gli enti per alcune decine di milioni di euro complessivi. </w:t>
      </w:r>
    </w:p>
    <w:p w:rsidR="00D23905" w:rsidRPr="00D66144" w:rsidRDefault="00D23905" w:rsidP="00F75BA7">
      <w:pPr>
        <w:spacing w:after="80"/>
        <w:ind w:firstLine="0"/>
        <w:rPr>
          <w:rFonts w:ascii="Bookman Old Style" w:hAnsi="Bookman Old Style" w:cs="Calibri"/>
          <w:iCs/>
          <w:color w:val="000000"/>
          <w:szCs w:val="22"/>
        </w:rPr>
      </w:pPr>
      <w:r w:rsidRPr="00D66144">
        <w:rPr>
          <w:rFonts w:ascii="Bookman Old Style" w:hAnsi="Bookman Old Style" w:cs="Calibri"/>
          <w:iCs/>
          <w:color w:val="000000"/>
          <w:szCs w:val="22"/>
        </w:rPr>
        <w:t xml:space="preserve">Il </w:t>
      </w:r>
      <w:r w:rsidRPr="00F75BA7">
        <w:rPr>
          <w:rFonts w:ascii="Bookman Old Style" w:hAnsi="Bookman Old Style" w:cs="Calibri"/>
          <w:b/>
          <w:iCs/>
          <w:color w:val="000000"/>
          <w:szCs w:val="22"/>
        </w:rPr>
        <w:t>comma 962</w:t>
      </w:r>
      <w:r w:rsidRPr="00D66144">
        <w:rPr>
          <w:rFonts w:ascii="Bookman Old Style" w:hAnsi="Bookman Old Style" w:cs="Calibri"/>
          <w:iCs/>
          <w:color w:val="000000"/>
          <w:szCs w:val="22"/>
        </w:rPr>
        <w:t xml:space="preserve"> precisa le caratteristiche dei mutui che potranno essere oggetto di rinegoziazione: a tasso fisso, con oneri di rimborso a diretto carico del soggetto beneficiario, con scadenza successiva al 31/12/2022, con debito residuo superiore a 10.000 euro, non rinegoziati ai sensi del dm </w:t>
      </w:r>
      <w:proofErr w:type="spellStart"/>
      <w:r w:rsidRPr="00D66144">
        <w:rPr>
          <w:rFonts w:ascii="Bookman Old Style" w:hAnsi="Bookman Old Style" w:cs="Calibri"/>
          <w:iCs/>
          <w:color w:val="000000"/>
          <w:szCs w:val="22"/>
        </w:rPr>
        <w:t>Mef</w:t>
      </w:r>
      <w:proofErr w:type="spellEnd"/>
      <w:r w:rsidR="00F75BA7">
        <w:rPr>
          <w:rFonts w:ascii="Bookman Old Style" w:hAnsi="Bookman Old Style" w:cs="Calibri"/>
          <w:iCs/>
          <w:color w:val="000000"/>
          <w:szCs w:val="22"/>
        </w:rPr>
        <w:t xml:space="preserve"> </w:t>
      </w:r>
      <w:r w:rsidRPr="00D66144">
        <w:rPr>
          <w:rFonts w:ascii="Bookman Old Style" w:hAnsi="Bookman Old Style" w:cs="Calibri"/>
          <w:iCs/>
          <w:color w:val="000000"/>
          <w:szCs w:val="22"/>
        </w:rPr>
        <w:t>20 giugno 2003, non già differiti da norme relative agli enti locali siti in territori colpiti da eventi sismici.</w:t>
      </w:r>
    </w:p>
    <w:p w:rsidR="00D23905" w:rsidRDefault="00D23905" w:rsidP="00F75BA7">
      <w:pPr>
        <w:spacing w:after="80"/>
        <w:ind w:firstLine="0"/>
        <w:rPr>
          <w:rFonts w:ascii="Bookman Old Style" w:hAnsi="Bookman Old Style" w:cs="Calibri"/>
          <w:iCs/>
          <w:color w:val="000000"/>
          <w:szCs w:val="22"/>
        </w:rPr>
      </w:pPr>
      <w:r w:rsidRPr="00D66144">
        <w:rPr>
          <w:rFonts w:ascii="Bookman Old Style" w:hAnsi="Bookman Old Style" w:cs="Calibri"/>
          <w:iCs/>
          <w:color w:val="000000"/>
          <w:szCs w:val="22"/>
        </w:rPr>
        <w:t xml:space="preserve">Il </w:t>
      </w:r>
      <w:r w:rsidRPr="00F75BA7">
        <w:rPr>
          <w:rFonts w:ascii="Bookman Old Style" w:hAnsi="Bookman Old Style" w:cs="Calibri"/>
          <w:b/>
          <w:iCs/>
          <w:color w:val="000000"/>
          <w:szCs w:val="22"/>
        </w:rPr>
        <w:t>comma 963</w:t>
      </w:r>
      <w:r w:rsidRPr="00D66144">
        <w:rPr>
          <w:rFonts w:ascii="Bookman Old Style" w:hAnsi="Bookman Old Style" w:cs="Calibri"/>
          <w:iCs/>
          <w:color w:val="000000"/>
          <w:szCs w:val="22"/>
        </w:rPr>
        <w:t xml:space="preserve"> </w:t>
      </w:r>
      <w:r>
        <w:rPr>
          <w:rFonts w:ascii="Bookman Old Style" w:hAnsi="Bookman Old Style" w:cs="Calibri"/>
          <w:iCs/>
          <w:color w:val="000000"/>
          <w:szCs w:val="22"/>
        </w:rPr>
        <w:t>rimanda ad un</w:t>
      </w:r>
      <w:r w:rsidRPr="00456A66">
        <w:rPr>
          <w:rFonts w:ascii="Bookman Old Style" w:hAnsi="Bookman Old Style" w:cs="Calibri"/>
          <w:iCs/>
          <w:color w:val="000000"/>
          <w:szCs w:val="22"/>
        </w:rPr>
        <w:t xml:space="preserve"> </w:t>
      </w:r>
      <w:r w:rsidRPr="00D66144">
        <w:rPr>
          <w:rFonts w:ascii="Bookman Old Style" w:hAnsi="Bookman Old Style" w:cs="Calibri"/>
          <w:iCs/>
          <w:color w:val="000000"/>
          <w:szCs w:val="22"/>
        </w:rPr>
        <w:t>decreto di natura non regolamentare del Ministro dell'economia e delle finanze</w:t>
      </w:r>
      <w:r>
        <w:rPr>
          <w:rFonts w:ascii="Bookman Old Style" w:hAnsi="Bookman Old Style" w:cs="Calibri"/>
          <w:iCs/>
          <w:color w:val="000000"/>
          <w:szCs w:val="22"/>
        </w:rPr>
        <w:t xml:space="preserve"> da emanarsi entro il </w:t>
      </w:r>
      <w:r w:rsidRPr="00D66144">
        <w:rPr>
          <w:rFonts w:ascii="Bookman Old Style" w:hAnsi="Bookman Old Style" w:cs="Calibri"/>
          <w:iCs/>
          <w:color w:val="000000"/>
          <w:szCs w:val="22"/>
        </w:rPr>
        <w:t xml:space="preserve">28 febbraio 2019 </w:t>
      </w:r>
      <w:r>
        <w:rPr>
          <w:rFonts w:ascii="Bookman Old Style" w:hAnsi="Bookman Old Style" w:cs="Calibri"/>
          <w:iCs/>
          <w:color w:val="000000"/>
          <w:szCs w:val="22"/>
        </w:rPr>
        <w:t xml:space="preserve">l’individuazione dei mutui che saranno </w:t>
      </w:r>
      <w:r w:rsidRPr="00D66144">
        <w:rPr>
          <w:rFonts w:ascii="Bookman Old Style" w:hAnsi="Bookman Old Style" w:cs="Calibri"/>
          <w:iCs/>
          <w:color w:val="000000"/>
          <w:szCs w:val="22"/>
        </w:rPr>
        <w:t xml:space="preserve">oggetto </w:t>
      </w:r>
      <w:r>
        <w:rPr>
          <w:rFonts w:ascii="Bookman Old Style" w:hAnsi="Bookman Old Style" w:cs="Calibri"/>
          <w:iCs/>
          <w:color w:val="000000"/>
          <w:szCs w:val="22"/>
        </w:rPr>
        <w:t>di</w:t>
      </w:r>
      <w:r w:rsidRPr="00D66144">
        <w:rPr>
          <w:rFonts w:ascii="Bookman Old Style" w:hAnsi="Bookman Old Style" w:cs="Calibri"/>
          <w:iCs/>
          <w:color w:val="000000"/>
          <w:szCs w:val="22"/>
        </w:rPr>
        <w:t xml:space="preserve"> rinegoziazion</w:t>
      </w:r>
      <w:r>
        <w:rPr>
          <w:rFonts w:ascii="Bookman Old Style" w:hAnsi="Bookman Old Style" w:cs="Calibri"/>
          <w:iCs/>
          <w:color w:val="000000"/>
          <w:szCs w:val="22"/>
        </w:rPr>
        <w:t>e</w:t>
      </w:r>
      <w:r w:rsidRPr="00D66144">
        <w:rPr>
          <w:rFonts w:ascii="Bookman Old Style" w:hAnsi="Bookman Old Style" w:cs="Calibri"/>
          <w:iCs/>
          <w:color w:val="000000"/>
          <w:szCs w:val="22"/>
        </w:rPr>
        <w:t xml:space="preserve">, nonché </w:t>
      </w:r>
      <w:r>
        <w:rPr>
          <w:rFonts w:ascii="Bookman Old Style" w:hAnsi="Bookman Old Style" w:cs="Calibri"/>
          <w:iCs/>
          <w:color w:val="000000"/>
          <w:szCs w:val="22"/>
        </w:rPr>
        <w:t xml:space="preserve">i </w:t>
      </w:r>
      <w:r w:rsidRPr="00D66144">
        <w:rPr>
          <w:rFonts w:ascii="Bookman Old Style" w:hAnsi="Bookman Old Style" w:cs="Calibri"/>
          <w:iCs/>
          <w:color w:val="000000"/>
          <w:szCs w:val="22"/>
        </w:rPr>
        <w:t xml:space="preserve">criteri e </w:t>
      </w:r>
      <w:r>
        <w:rPr>
          <w:rFonts w:ascii="Bookman Old Style" w:hAnsi="Bookman Old Style" w:cs="Calibri"/>
          <w:iCs/>
          <w:color w:val="000000"/>
          <w:szCs w:val="22"/>
        </w:rPr>
        <w:t xml:space="preserve">le </w:t>
      </w:r>
      <w:r w:rsidRPr="00D66144">
        <w:rPr>
          <w:rFonts w:ascii="Bookman Old Style" w:hAnsi="Bookman Old Style" w:cs="Calibri"/>
          <w:iCs/>
          <w:color w:val="000000"/>
          <w:szCs w:val="22"/>
        </w:rPr>
        <w:t>modalità di perfezionamento delle operazioni. La norma precisa altresì che le rinegoziazioni saranno determinate sulla base della curva dei rendimenti di mercato dei titoli di Stato, secondo un piano di ammortamento a tasso fisso e a rate costanti, comprensive di quota capitale e quota interessi.</w:t>
      </w:r>
    </w:p>
    <w:p w:rsidR="009411D4" w:rsidRDefault="009411D4" w:rsidP="00F75BA7">
      <w:pPr>
        <w:spacing w:after="80"/>
        <w:ind w:firstLine="0"/>
        <w:rPr>
          <w:rFonts w:ascii="Bookman Old Style" w:hAnsi="Bookman Old Style" w:cs="Calibri"/>
          <w:iCs/>
          <w:color w:val="000000"/>
          <w:szCs w:val="22"/>
        </w:rPr>
      </w:pPr>
    </w:p>
    <w:p w:rsidR="009411D4" w:rsidRPr="00895D8B" w:rsidRDefault="00895D8B" w:rsidP="00895D8B">
      <w:pPr>
        <w:pStyle w:val="Titolo2"/>
        <w:ind w:firstLine="0"/>
        <w:jc w:val="left"/>
        <w:rPr>
          <w:rFonts w:ascii="Bookman Old Style" w:hAnsi="Bookman Old Style"/>
          <w:b/>
          <w:sz w:val="22"/>
          <w:szCs w:val="22"/>
        </w:rPr>
      </w:pPr>
      <w:bookmarkStart w:id="101" w:name="_Toc533784384"/>
      <w:bookmarkStart w:id="102" w:name="_Toc533979341"/>
      <w:bookmarkStart w:id="103" w:name="_Toc534027998"/>
      <w:r>
        <w:rPr>
          <w:rFonts w:ascii="Bookman Old Style" w:hAnsi="Bookman Old Style"/>
          <w:b/>
          <w:sz w:val="22"/>
          <w:szCs w:val="22"/>
        </w:rPr>
        <w:t>A</w:t>
      </w:r>
      <w:r w:rsidRPr="00895D8B">
        <w:rPr>
          <w:rFonts w:ascii="Bookman Old Style" w:hAnsi="Bookman Old Style"/>
          <w:b/>
          <w:sz w:val="22"/>
          <w:szCs w:val="22"/>
        </w:rPr>
        <w:t>nticipazioni di liquidit</w:t>
      </w:r>
      <w:r>
        <w:rPr>
          <w:rFonts w:ascii="Bookman Old Style" w:hAnsi="Bookman Old Style"/>
          <w:b/>
          <w:sz w:val="22"/>
          <w:szCs w:val="22"/>
        </w:rPr>
        <w:t>à per pagamenti debiti pregressi</w:t>
      </w:r>
      <w:bookmarkEnd w:id="101"/>
      <w:bookmarkEnd w:id="102"/>
      <w:bookmarkEnd w:id="103"/>
    </w:p>
    <w:p w:rsidR="009411D4" w:rsidRPr="00A150E9" w:rsidRDefault="009411D4" w:rsidP="00895D8B">
      <w:pPr>
        <w:autoSpaceDE w:val="0"/>
        <w:autoSpaceDN w:val="0"/>
        <w:adjustRightInd w:val="0"/>
        <w:spacing w:after="80"/>
        <w:ind w:firstLine="0"/>
        <w:rPr>
          <w:rFonts w:ascii="Bookman Old Style" w:eastAsiaTheme="minorHAnsi" w:hAnsi="Bookman Old Style" w:cs="TimesNewRomanPS-BoldMT"/>
          <w:bCs/>
          <w:szCs w:val="22"/>
          <w:lang w:eastAsia="en-US"/>
        </w:rPr>
      </w:pPr>
      <w:r>
        <w:rPr>
          <w:rFonts w:ascii="Bookman Old Style" w:eastAsiaTheme="minorHAnsi" w:hAnsi="Bookman Old Style" w:cs="TimesNewRomanPS-BoldMT"/>
          <w:bCs/>
          <w:szCs w:val="22"/>
          <w:lang w:eastAsia="en-US"/>
        </w:rPr>
        <w:t xml:space="preserve">I </w:t>
      </w:r>
      <w:r w:rsidRPr="00895D8B">
        <w:rPr>
          <w:rFonts w:ascii="Bookman Old Style" w:eastAsiaTheme="minorHAnsi" w:hAnsi="Bookman Old Style" w:cs="TimesNewRomanPS-BoldMT"/>
          <w:b/>
          <w:bCs/>
          <w:szCs w:val="22"/>
          <w:lang w:eastAsia="en-US"/>
        </w:rPr>
        <w:t>commi da 849 a 858</w:t>
      </w:r>
      <w:r w:rsidRPr="00A150E9">
        <w:rPr>
          <w:rFonts w:ascii="Bookman Old Style" w:eastAsiaTheme="minorHAnsi" w:hAnsi="Bookman Old Style" w:cs="TimesNewRomanPS-BoldMT"/>
          <w:bCs/>
          <w:szCs w:val="22"/>
          <w:lang w:eastAsia="en-US"/>
        </w:rPr>
        <w:t xml:space="preserve"> </w:t>
      </w:r>
      <w:r>
        <w:rPr>
          <w:rFonts w:ascii="Bookman Old Style" w:eastAsiaTheme="minorHAnsi" w:hAnsi="Bookman Old Style" w:cs="TimesNewRomanPS-BoldMT"/>
          <w:bCs/>
          <w:szCs w:val="22"/>
          <w:lang w:eastAsia="en-US"/>
        </w:rPr>
        <w:t>introducono un dispositivo che consente a Regioni, Province</w:t>
      </w:r>
      <w:r w:rsidR="00895D8B">
        <w:rPr>
          <w:rFonts w:ascii="Bookman Old Style" w:eastAsiaTheme="minorHAnsi" w:hAnsi="Bookman Old Style" w:cs="TimesNewRomanPS-BoldMT"/>
          <w:bCs/>
          <w:szCs w:val="22"/>
          <w:lang w:eastAsia="en-US"/>
        </w:rPr>
        <w:t xml:space="preserve">, </w:t>
      </w:r>
      <w:r>
        <w:rPr>
          <w:rFonts w:ascii="Bookman Old Style" w:eastAsiaTheme="minorHAnsi" w:hAnsi="Bookman Old Style" w:cs="TimesNewRomanPS-BoldMT"/>
          <w:bCs/>
          <w:szCs w:val="22"/>
          <w:lang w:eastAsia="en-US"/>
        </w:rPr>
        <w:t>Città metropolitane</w:t>
      </w:r>
      <w:r w:rsidR="00895D8B">
        <w:rPr>
          <w:rFonts w:ascii="Bookman Old Style" w:eastAsiaTheme="minorHAnsi" w:hAnsi="Bookman Old Style" w:cs="TimesNewRomanPS-BoldMT"/>
          <w:bCs/>
          <w:szCs w:val="22"/>
          <w:lang w:eastAsia="en-US"/>
        </w:rPr>
        <w:t xml:space="preserve"> e Comuni</w:t>
      </w:r>
      <w:r>
        <w:rPr>
          <w:rFonts w:ascii="Bookman Old Style" w:eastAsiaTheme="minorHAnsi" w:hAnsi="Bookman Old Style" w:cs="TimesNewRomanPS-BoldMT"/>
          <w:bCs/>
          <w:szCs w:val="22"/>
          <w:lang w:eastAsia="en-US"/>
        </w:rPr>
        <w:t xml:space="preserve"> di richiedere anticipazioni di liquidità </w:t>
      </w:r>
      <w:r w:rsidR="00895D8B">
        <w:rPr>
          <w:rFonts w:ascii="Bookman Old Style" w:eastAsiaTheme="minorHAnsi" w:hAnsi="Bookman Old Style" w:cs="TimesNewRomanPS-BoldMT"/>
          <w:bCs/>
          <w:szCs w:val="22"/>
          <w:lang w:eastAsia="en-US"/>
        </w:rPr>
        <w:t xml:space="preserve">a breve termine </w:t>
      </w:r>
      <w:r>
        <w:rPr>
          <w:rFonts w:ascii="Bookman Old Style" w:eastAsiaTheme="minorHAnsi" w:hAnsi="Bookman Old Style" w:cs="TimesNewRomanPS-BoldMT"/>
          <w:bCs/>
          <w:szCs w:val="22"/>
          <w:lang w:eastAsia="en-US"/>
        </w:rPr>
        <w:t xml:space="preserve">finalizzandone l’utilizzo alla accelerazione del </w:t>
      </w:r>
      <w:r w:rsidRPr="001B41BD">
        <w:rPr>
          <w:rFonts w:ascii="Bookman Old Style" w:eastAsiaTheme="minorHAnsi" w:hAnsi="Bookman Old Style" w:cs="TimesNewRomanPS-BoldMT"/>
          <w:bCs/>
          <w:szCs w:val="22"/>
          <w:lang w:eastAsia="en-US"/>
        </w:rPr>
        <w:t>pagamento dei debiti commerciali</w:t>
      </w:r>
      <w:r>
        <w:rPr>
          <w:rFonts w:ascii="Bookman Old Style" w:eastAsiaTheme="minorHAnsi" w:hAnsi="Bookman Old Style" w:cs="TimesNewRomanPS-BoldMT"/>
          <w:bCs/>
          <w:szCs w:val="22"/>
          <w:lang w:eastAsia="en-US"/>
        </w:rPr>
        <w:t>.</w:t>
      </w:r>
      <w:r w:rsidRPr="009E3AB6">
        <w:rPr>
          <w:rFonts w:ascii="Bookman Old Style" w:eastAsiaTheme="minorHAnsi" w:hAnsi="Bookman Old Style" w:cs="TimesNewRomanPS-BoldMT"/>
          <w:bCs/>
          <w:szCs w:val="22"/>
          <w:lang w:eastAsia="en-US"/>
        </w:rPr>
        <w:t xml:space="preserve"> </w:t>
      </w:r>
      <w:r w:rsidRPr="001B41BD">
        <w:rPr>
          <w:rFonts w:ascii="Bookman Old Style" w:eastAsiaTheme="minorHAnsi" w:hAnsi="Bookman Old Style" w:cs="TimesNewRomanPS-BoldMT"/>
          <w:bCs/>
          <w:szCs w:val="22"/>
          <w:lang w:eastAsia="en-US"/>
        </w:rPr>
        <w:t xml:space="preserve">La norma </w:t>
      </w:r>
      <w:r>
        <w:rPr>
          <w:rFonts w:ascii="Bookman Old Style" w:eastAsiaTheme="minorHAnsi" w:hAnsi="Bookman Old Style" w:cs="TimesNewRomanPS-BoldMT"/>
          <w:bCs/>
          <w:szCs w:val="22"/>
          <w:lang w:eastAsia="en-US"/>
        </w:rPr>
        <w:t xml:space="preserve">consente agli istituti di credito (banche, </w:t>
      </w:r>
      <w:proofErr w:type="spellStart"/>
      <w:r>
        <w:rPr>
          <w:rFonts w:ascii="Bookman Old Style" w:eastAsiaTheme="minorHAnsi" w:hAnsi="Bookman Old Style" w:cs="TimesNewRomanPS-BoldMT"/>
          <w:bCs/>
          <w:szCs w:val="22"/>
          <w:lang w:eastAsia="en-US"/>
        </w:rPr>
        <w:t>Cdp</w:t>
      </w:r>
      <w:proofErr w:type="spellEnd"/>
      <w:r>
        <w:rPr>
          <w:rFonts w:ascii="Bookman Old Style" w:eastAsiaTheme="minorHAnsi" w:hAnsi="Bookman Old Style" w:cs="TimesNewRomanPS-BoldMT"/>
          <w:bCs/>
          <w:szCs w:val="22"/>
          <w:lang w:eastAsia="en-US"/>
        </w:rPr>
        <w:t xml:space="preserve">, intermediari finanziari, istituzioni finanziarie UE) di </w:t>
      </w:r>
      <w:r w:rsidRPr="001B41BD">
        <w:rPr>
          <w:rFonts w:ascii="Bookman Old Style" w:eastAsiaTheme="minorHAnsi" w:hAnsi="Bookman Old Style" w:cs="TimesNewRomanPS-BoldMT"/>
          <w:bCs/>
          <w:szCs w:val="22"/>
          <w:lang w:eastAsia="en-US"/>
        </w:rPr>
        <w:t xml:space="preserve">concedere anticipazioni </w:t>
      </w:r>
      <w:r>
        <w:rPr>
          <w:rFonts w:ascii="Bookman Old Style" w:eastAsiaTheme="minorHAnsi" w:hAnsi="Bookman Old Style" w:cs="TimesNewRomanPS-BoldMT"/>
          <w:bCs/>
          <w:szCs w:val="22"/>
          <w:lang w:eastAsia="en-US"/>
        </w:rPr>
        <w:t xml:space="preserve">di liquidità </w:t>
      </w:r>
      <w:r w:rsidR="00895D8B">
        <w:rPr>
          <w:rFonts w:ascii="Bookman Old Style" w:eastAsiaTheme="minorHAnsi" w:hAnsi="Bookman Old Style" w:cs="TimesNewRomanPS-BoldMT"/>
          <w:bCs/>
          <w:szCs w:val="22"/>
          <w:lang w:eastAsia="en-US"/>
        </w:rPr>
        <w:t>agli enti</w:t>
      </w:r>
      <w:r>
        <w:rPr>
          <w:rFonts w:ascii="Bookman Old Style" w:eastAsiaTheme="minorHAnsi" w:hAnsi="Bookman Old Style" w:cs="TimesNewRomanPS-BoldMT"/>
          <w:bCs/>
          <w:szCs w:val="22"/>
          <w:lang w:eastAsia="en-US"/>
        </w:rPr>
        <w:t>,</w:t>
      </w:r>
      <w:r w:rsidRPr="001B41BD">
        <w:rPr>
          <w:rFonts w:ascii="Bookman Old Style" w:eastAsiaTheme="minorHAnsi" w:hAnsi="Bookman Old Style" w:cs="TimesNewRomanPS-BoldMT"/>
          <w:bCs/>
          <w:szCs w:val="22"/>
          <w:lang w:eastAsia="en-US"/>
        </w:rPr>
        <w:t xml:space="preserve"> </w:t>
      </w:r>
      <w:r w:rsidRPr="00A150E9">
        <w:rPr>
          <w:rFonts w:ascii="Bookman Old Style" w:eastAsiaTheme="minorHAnsi" w:hAnsi="Bookman Old Style" w:cs="TimesNewRomanPS-BoldMT"/>
          <w:bCs/>
          <w:szCs w:val="22"/>
          <w:lang w:eastAsia="en-US"/>
        </w:rPr>
        <w:t>da destinare al pagamento di debiti, certi, liquidi ed esigibili, maturati alla data del 31 dicembre 2018, relativi a somministrazioni, forniture, appalti e a obbligazioni per prestazioni professionali</w:t>
      </w:r>
      <w:r w:rsidRPr="001B41BD">
        <w:rPr>
          <w:rFonts w:ascii="Bookman Old Style" w:eastAsiaTheme="minorHAnsi" w:hAnsi="Bookman Old Style" w:cs="TimesNewRomanPS-BoldMT"/>
          <w:bCs/>
          <w:szCs w:val="22"/>
          <w:lang w:eastAsia="en-US"/>
        </w:rPr>
        <w:t xml:space="preserve">. </w:t>
      </w:r>
      <w:r>
        <w:rPr>
          <w:rFonts w:ascii="Bookman Old Style" w:eastAsiaTheme="minorHAnsi" w:hAnsi="Bookman Old Style" w:cs="TimesNewRomanPS-BoldMT"/>
          <w:bCs/>
          <w:szCs w:val="22"/>
          <w:lang w:eastAsia="en-US"/>
        </w:rPr>
        <w:t>La misura massima concedibile per gli Enti locali, e quindi anche ai Comuni, è di 3/12 (tre/dodicesimi)</w:t>
      </w:r>
      <w:r w:rsidRPr="00A150E9">
        <w:rPr>
          <w:rFonts w:ascii="Bookman Old Style" w:eastAsiaTheme="minorHAnsi" w:hAnsi="Bookman Old Style" w:cs="TimesNewRomanPS-BoldMT"/>
          <w:bCs/>
          <w:szCs w:val="22"/>
          <w:lang w:eastAsia="en-US"/>
        </w:rPr>
        <w:t xml:space="preserve"> delle entrate accertate nel 2017 relativamente ai primi tre titoli delle entrate. Per le Regioni e le Province autonome, il limite massimo </w:t>
      </w:r>
      <w:r w:rsidR="00895D8B">
        <w:rPr>
          <w:rFonts w:ascii="Bookman Old Style" w:eastAsiaTheme="minorHAnsi" w:hAnsi="Bookman Old Style" w:cs="TimesNewRomanPS-BoldMT"/>
          <w:bCs/>
          <w:szCs w:val="22"/>
          <w:lang w:eastAsia="en-US"/>
        </w:rPr>
        <w:t xml:space="preserve">è fissato al </w:t>
      </w:r>
      <w:r w:rsidRPr="00A150E9">
        <w:rPr>
          <w:rFonts w:ascii="Bookman Old Style" w:eastAsiaTheme="minorHAnsi" w:hAnsi="Bookman Old Style" w:cs="TimesNewRomanPS-BoldMT"/>
          <w:bCs/>
          <w:szCs w:val="22"/>
          <w:lang w:eastAsia="en-US"/>
        </w:rPr>
        <w:t>5 per cento delle entrate accertate nell'anno 2017 afferenti al primo titolo di entrata del bilancio (</w:t>
      </w:r>
      <w:r w:rsidRPr="00895D8B">
        <w:rPr>
          <w:rFonts w:ascii="Bookman Old Style" w:eastAsiaTheme="minorHAnsi" w:hAnsi="Bookman Old Style" w:cs="TimesNewRomanPS-BoldMT"/>
          <w:b/>
          <w:bCs/>
          <w:szCs w:val="22"/>
          <w:lang w:eastAsia="en-US"/>
        </w:rPr>
        <w:t>co. 850</w:t>
      </w:r>
      <w:r w:rsidRPr="00A150E9">
        <w:rPr>
          <w:rFonts w:ascii="Bookman Old Style" w:eastAsiaTheme="minorHAnsi" w:hAnsi="Bookman Old Style" w:cs="TimesNewRomanPS-BoldMT"/>
          <w:bCs/>
          <w:szCs w:val="22"/>
          <w:lang w:eastAsia="en-US"/>
        </w:rPr>
        <w:t>).</w:t>
      </w:r>
    </w:p>
    <w:p w:rsidR="009411D4" w:rsidRDefault="00895D8B" w:rsidP="00895D8B">
      <w:pPr>
        <w:autoSpaceDE w:val="0"/>
        <w:autoSpaceDN w:val="0"/>
        <w:adjustRightInd w:val="0"/>
        <w:spacing w:after="80"/>
        <w:ind w:firstLine="0"/>
        <w:rPr>
          <w:rFonts w:ascii="Bookman Old Style" w:eastAsiaTheme="minorHAnsi" w:hAnsi="Bookman Old Style" w:cs="TimesNewRomanPS-BoldMT"/>
          <w:bCs/>
          <w:szCs w:val="22"/>
          <w:lang w:eastAsia="en-US"/>
        </w:rPr>
      </w:pPr>
      <w:r>
        <w:rPr>
          <w:rFonts w:ascii="Bookman Old Style" w:eastAsiaTheme="minorHAnsi" w:hAnsi="Bookman Old Style" w:cs="TimesNewRomanPS-BoldMT"/>
          <w:bCs/>
          <w:szCs w:val="22"/>
          <w:lang w:eastAsia="en-US"/>
        </w:rPr>
        <w:t>Le</w:t>
      </w:r>
      <w:r w:rsidR="009411D4" w:rsidRPr="00A150E9">
        <w:rPr>
          <w:rFonts w:ascii="Bookman Old Style" w:eastAsiaTheme="minorHAnsi" w:hAnsi="Bookman Old Style" w:cs="TimesNewRomanPS-BoldMT"/>
          <w:bCs/>
          <w:szCs w:val="22"/>
          <w:lang w:eastAsia="en-US"/>
        </w:rPr>
        <w:t xml:space="preserve"> anticipazioni non costituiscono indebitamento e possono essere richieste anche nel corso dell’esercizio provvisorio (</w:t>
      </w:r>
      <w:r w:rsidR="009411D4" w:rsidRPr="00895D8B">
        <w:rPr>
          <w:rFonts w:ascii="Bookman Old Style" w:eastAsiaTheme="minorHAnsi" w:hAnsi="Bookman Old Style" w:cs="TimesNewRomanPS-BoldMT"/>
          <w:b/>
          <w:bCs/>
          <w:szCs w:val="22"/>
          <w:lang w:eastAsia="en-US"/>
        </w:rPr>
        <w:t>co. 851</w:t>
      </w:r>
      <w:r w:rsidR="009411D4" w:rsidRPr="00A150E9">
        <w:rPr>
          <w:rFonts w:ascii="Bookman Old Style" w:eastAsiaTheme="minorHAnsi" w:hAnsi="Bookman Old Style" w:cs="TimesNewRomanPS-BoldMT"/>
          <w:bCs/>
          <w:szCs w:val="22"/>
          <w:lang w:eastAsia="en-US"/>
        </w:rPr>
        <w:t>)</w:t>
      </w:r>
      <w:r w:rsidR="009411D4">
        <w:rPr>
          <w:rFonts w:ascii="Bookman Old Style" w:eastAsiaTheme="minorHAnsi" w:hAnsi="Bookman Old Style" w:cs="TimesNewRomanPS-BoldMT"/>
          <w:bCs/>
          <w:szCs w:val="22"/>
          <w:lang w:eastAsia="en-US"/>
        </w:rPr>
        <w:t>. Possono essere finanziati anche i debiti fuori bilancio purché riconosciuti con le modalità previste dal TUEL (art. 194).</w:t>
      </w:r>
      <w:r>
        <w:rPr>
          <w:rFonts w:ascii="Bookman Old Style" w:eastAsiaTheme="minorHAnsi" w:hAnsi="Bookman Old Style" w:cs="TimesNewRomanPS-BoldMT"/>
          <w:bCs/>
          <w:szCs w:val="22"/>
          <w:lang w:eastAsia="en-US"/>
        </w:rPr>
        <w:t xml:space="preserve"> </w:t>
      </w:r>
      <w:r w:rsidR="009411D4">
        <w:rPr>
          <w:rFonts w:ascii="Bookman Old Style" w:eastAsiaTheme="minorHAnsi" w:hAnsi="Bookman Old Style" w:cs="TimesNewRomanPS-BoldMT"/>
          <w:bCs/>
          <w:szCs w:val="22"/>
          <w:lang w:eastAsia="en-US"/>
        </w:rPr>
        <w:t xml:space="preserve">Le anticipazioni sono assistite da delegazione di pagamento e sono soggette alle </w:t>
      </w:r>
      <w:r w:rsidR="009411D4" w:rsidRPr="00032E2C">
        <w:rPr>
          <w:rFonts w:ascii="Bookman Old Style" w:eastAsiaTheme="minorHAnsi" w:hAnsi="Bookman Old Style" w:cs="TimesNewRomanPS-BoldMT"/>
          <w:bCs/>
          <w:szCs w:val="22"/>
          <w:lang w:eastAsia="en-US"/>
        </w:rPr>
        <w:t xml:space="preserve">disposizioni </w:t>
      </w:r>
      <w:r w:rsidR="0064714F">
        <w:rPr>
          <w:rFonts w:ascii="Bookman Old Style" w:eastAsiaTheme="minorHAnsi" w:hAnsi="Bookman Old Style" w:cs="TimesNewRomanPS-BoldMT"/>
          <w:bCs/>
          <w:szCs w:val="22"/>
          <w:lang w:eastAsia="en-US"/>
        </w:rPr>
        <w:t xml:space="preserve">di limitazione all’applicazione di atti esecutivi disposte </w:t>
      </w:r>
      <w:r w:rsidR="0064714F" w:rsidRPr="0064714F">
        <w:rPr>
          <w:rFonts w:ascii="Bookman Old Style" w:eastAsiaTheme="minorHAnsi" w:hAnsi="Bookman Old Style" w:cs="TimesNewRomanPS-BoldMT"/>
          <w:bCs/>
          <w:szCs w:val="22"/>
          <w:lang w:eastAsia="en-US"/>
        </w:rPr>
        <w:t>dall’articolo</w:t>
      </w:r>
      <w:r w:rsidR="009411D4" w:rsidRPr="005132B6">
        <w:rPr>
          <w:rFonts w:ascii="Bookman Old Style" w:eastAsiaTheme="minorHAnsi" w:hAnsi="Bookman Old Style"/>
        </w:rPr>
        <w:t xml:space="preserve"> 159</w:t>
      </w:r>
      <w:r w:rsidR="0064714F" w:rsidRPr="0064714F">
        <w:rPr>
          <w:rFonts w:ascii="Bookman Old Style" w:eastAsiaTheme="minorHAnsi" w:hAnsi="Bookman Old Style" w:cs="TimesNewRomanPS-BoldMT"/>
          <w:bCs/>
          <w:szCs w:val="22"/>
          <w:lang w:eastAsia="en-US"/>
        </w:rPr>
        <w:t>,</w:t>
      </w:r>
      <w:r w:rsidR="009411D4" w:rsidRPr="005132B6">
        <w:rPr>
          <w:rFonts w:ascii="Bookman Old Style" w:eastAsiaTheme="minorHAnsi" w:hAnsi="Bookman Old Style"/>
        </w:rPr>
        <w:t xml:space="preserve"> comma 2</w:t>
      </w:r>
      <w:r w:rsidR="0064714F" w:rsidRPr="0064714F">
        <w:rPr>
          <w:rFonts w:ascii="Bookman Old Style" w:eastAsiaTheme="minorHAnsi" w:hAnsi="Bookman Old Style" w:cs="TimesNewRomanPS-BoldMT"/>
          <w:bCs/>
          <w:szCs w:val="22"/>
          <w:lang w:eastAsia="en-US"/>
        </w:rPr>
        <w:t xml:space="preserve"> </w:t>
      </w:r>
      <w:proofErr w:type="spellStart"/>
      <w:r w:rsidR="0064714F" w:rsidRPr="0064714F">
        <w:rPr>
          <w:rFonts w:ascii="Bookman Old Style" w:eastAsiaTheme="minorHAnsi" w:hAnsi="Bookman Old Style" w:cs="TimesNewRomanPS-BoldMT"/>
          <w:bCs/>
          <w:szCs w:val="22"/>
          <w:lang w:eastAsia="en-US"/>
        </w:rPr>
        <w:t>ddel</w:t>
      </w:r>
      <w:proofErr w:type="spellEnd"/>
      <w:r w:rsidR="0064714F" w:rsidRPr="0064714F">
        <w:rPr>
          <w:rFonts w:ascii="Bookman Old Style" w:eastAsiaTheme="minorHAnsi" w:hAnsi="Bookman Old Style" w:cs="TimesNewRomanPS-BoldMT"/>
          <w:bCs/>
          <w:szCs w:val="22"/>
          <w:lang w:eastAsia="en-US"/>
        </w:rPr>
        <w:t xml:space="preserve"> TUEL</w:t>
      </w:r>
      <w:r w:rsidR="009411D4" w:rsidRPr="005132B6">
        <w:rPr>
          <w:rFonts w:ascii="Bookman Old Style" w:eastAsiaTheme="minorHAnsi" w:hAnsi="Bookman Old Style"/>
        </w:rPr>
        <w:t xml:space="preserve"> e </w:t>
      </w:r>
      <w:r w:rsidR="0064714F" w:rsidRPr="0064714F">
        <w:rPr>
          <w:rFonts w:ascii="Bookman Old Style" w:eastAsiaTheme="minorHAnsi" w:hAnsi="Bookman Old Style" w:cs="TimesNewRomanPS-BoldMT"/>
          <w:bCs/>
          <w:szCs w:val="22"/>
          <w:lang w:eastAsia="en-US"/>
        </w:rPr>
        <w:t>di esclusione dalla competenza dell’OSL</w:t>
      </w:r>
      <w:r w:rsidR="009411D4" w:rsidRPr="00032E2C">
        <w:rPr>
          <w:rFonts w:ascii="Bookman Old Style" w:eastAsiaTheme="minorHAnsi" w:hAnsi="Bookman Old Style" w:cs="TimesNewRomanPS-BoldMT"/>
          <w:bCs/>
          <w:szCs w:val="22"/>
          <w:lang w:eastAsia="en-US"/>
        </w:rPr>
        <w:t xml:space="preserve"> per </w:t>
      </w:r>
      <w:r w:rsidR="0064714F" w:rsidRPr="0064714F">
        <w:rPr>
          <w:rFonts w:ascii="Bookman Old Style" w:eastAsiaTheme="minorHAnsi" w:hAnsi="Bookman Old Style" w:cs="TimesNewRomanPS-BoldMT"/>
          <w:bCs/>
          <w:szCs w:val="22"/>
          <w:lang w:eastAsia="en-US"/>
        </w:rPr>
        <w:t xml:space="preserve">gli enti in dissesto di cui all’articolo 255, </w:t>
      </w:r>
      <w:r w:rsidR="009411D4" w:rsidRPr="0064714F">
        <w:rPr>
          <w:rFonts w:ascii="Bookman Old Style" w:eastAsiaTheme="minorHAnsi" w:hAnsi="Bookman Old Style" w:cs="TimesNewRomanPS-BoldMT"/>
          <w:bCs/>
          <w:szCs w:val="22"/>
          <w:lang w:eastAsia="en-US"/>
        </w:rPr>
        <w:t>co</w:t>
      </w:r>
      <w:r w:rsidR="0064714F">
        <w:rPr>
          <w:rFonts w:ascii="Bookman Old Style" w:eastAsiaTheme="minorHAnsi" w:hAnsi="Bookman Old Style" w:cs="TimesNewRomanPS-BoldMT"/>
          <w:bCs/>
          <w:szCs w:val="22"/>
          <w:lang w:eastAsia="en-US"/>
        </w:rPr>
        <w:t>.</w:t>
      </w:r>
      <w:r w:rsidR="009411D4" w:rsidRPr="00032E2C">
        <w:rPr>
          <w:rFonts w:ascii="Bookman Old Style" w:eastAsiaTheme="minorHAnsi" w:hAnsi="Bookman Old Style" w:cs="TimesNewRomanPS-BoldMT"/>
          <w:bCs/>
          <w:szCs w:val="22"/>
          <w:lang w:eastAsia="en-US"/>
        </w:rPr>
        <w:t>10, del</w:t>
      </w:r>
      <w:r w:rsidR="0064714F">
        <w:rPr>
          <w:rFonts w:ascii="Bookman Old Style" w:eastAsiaTheme="minorHAnsi" w:hAnsi="Bookman Old Style" w:cs="TimesNewRomanPS-BoldMT"/>
          <w:bCs/>
          <w:szCs w:val="22"/>
          <w:lang w:eastAsia="en-US"/>
        </w:rPr>
        <w:t>lo stesso</w:t>
      </w:r>
      <w:r w:rsidR="009411D4" w:rsidRPr="00032E2C">
        <w:rPr>
          <w:rFonts w:ascii="Bookman Old Style" w:eastAsiaTheme="minorHAnsi" w:hAnsi="Bookman Old Style" w:cs="TimesNewRomanPS-BoldMT"/>
          <w:bCs/>
          <w:szCs w:val="22"/>
          <w:lang w:eastAsia="en-US"/>
        </w:rPr>
        <w:t xml:space="preserve"> TUEL (</w:t>
      </w:r>
      <w:r w:rsidR="009411D4" w:rsidRPr="00895D8B">
        <w:rPr>
          <w:rFonts w:ascii="Bookman Old Style" w:eastAsiaTheme="minorHAnsi" w:hAnsi="Bookman Old Style" w:cs="TimesNewRomanPS-BoldMT"/>
          <w:b/>
          <w:bCs/>
          <w:szCs w:val="22"/>
          <w:lang w:eastAsia="en-US"/>
        </w:rPr>
        <w:t>co. 852</w:t>
      </w:r>
      <w:r w:rsidR="009411D4" w:rsidRPr="00032E2C">
        <w:rPr>
          <w:rFonts w:ascii="Bookman Old Style" w:eastAsiaTheme="minorHAnsi" w:hAnsi="Bookman Old Style" w:cs="TimesNewRomanPS-BoldMT"/>
          <w:bCs/>
          <w:szCs w:val="22"/>
          <w:lang w:eastAsia="en-US"/>
        </w:rPr>
        <w:t>)</w:t>
      </w:r>
      <w:r w:rsidR="009411D4">
        <w:rPr>
          <w:rFonts w:ascii="Bookman Old Style" w:eastAsiaTheme="minorHAnsi" w:hAnsi="Bookman Old Style" w:cs="TimesNewRomanPS-BoldMT"/>
          <w:bCs/>
          <w:szCs w:val="22"/>
          <w:lang w:eastAsia="en-US"/>
        </w:rPr>
        <w:t>.</w:t>
      </w:r>
      <w:r>
        <w:rPr>
          <w:rFonts w:ascii="Bookman Old Style" w:eastAsiaTheme="minorHAnsi" w:hAnsi="Bookman Old Style" w:cs="TimesNewRomanPS-BoldMT"/>
          <w:bCs/>
          <w:szCs w:val="22"/>
          <w:lang w:eastAsia="en-US"/>
        </w:rPr>
        <w:t xml:space="preserve"> La </w:t>
      </w:r>
      <w:r w:rsidR="009411D4">
        <w:rPr>
          <w:rFonts w:ascii="Bookman Old Style" w:eastAsiaTheme="minorHAnsi" w:hAnsi="Bookman Old Style" w:cs="TimesNewRomanPS-BoldMT"/>
          <w:bCs/>
          <w:szCs w:val="22"/>
          <w:lang w:eastAsia="en-US"/>
        </w:rPr>
        <w:t xml:space="preserve">richiesta </w:t>
      </w:r>
      <w:r>
        <w:rPr>
          <w:rFonts w:ascii="Bookman Old Style" w:eastAsiaTheme="minorHAnsi" w:hAnsi="Bookman Old Style" w:cs="TimesNewRomanPS-BoldMT"/>
          <w:bCs/>
          <w:szCs w:val="22"/>
          <w:lang w:eastAsia="en-US"/>
        </w:rPr>
        <w:t xml:space="preserve">di anticipazione deve essere rivolta </w:t>
      </w:r>
      <w:r w:rsidR="009411D4">
        <w:rPr>
          <w:rFonts w:ascii="Bookman Old Style" w:eastAsiaTheme="minorHAnsi" w:hAnsi="Bookman Old Style" w:cs="TimesNewRomanPS-BoldMT"/>
          <w:bCs/>
          <w:szCs w:val="22"/>
          <w:lang w:eastAsia="en-US"/>
        </w:rPr>
        <w:t>agli istituti finanziatori entro il 28 febbraio 2019 mediante apposita dichiarazione, redatta in base al modello previsto dalla Piattaforma per la certificazione dei crediti, contenente l’indicazione dei debiti cui sono riferite (</w:t>
      </w:r>
      <w:r w:rsidR="009411D4" w:rsidRPr="00895D8B">
        <w:rPr>
          <w:rFonts w:ascii="Bookman Old Style" w:eastAsiaTheme="minorHAnsi" w:hAnsi="Bookman Old Style" w:cs="TimesNewRomanPS-BoldMT"/>
          <w:b/>
          <w:bCs/>
          <w:szCs w:val="22"/>
          <w:lang w:eastAsia="en-US"/>
        </w:rPr>
        <w:t>co. 853</w:t>
      </w:r>
      <w:r w:rsidR="009411D4">
        <w:rPr>
          <w:rFonts w:ascii="Bookman Old Style" w:eastAsiaTheme="minorHAnsi" w:hAnsi="Bookman Old Style" w:cs="TimesNewRomanPS-BoldMT"/>
          <w:bCs/>
          <w:szCs w:val="22"/>
          <w:lang w:eastAsia="en-US"/>
        </w:rPr>
        <w:t>).</w:t>
      </w:r>
      <w:r>
        <w:rPr>
          <w:rFonts w:ascii="Bookman Old Style" w:eastAsiaTheme="minorHAnsi" w:hAnsi="Bookman Old Style" w:cs="TimesNewRomanPS-BoldMT"/>
          <w:bCs/>
          <w:szCs w:val="22"/>
          <w:lang w:eastAsia="en-US"/>
        </w:rPr>
        <w:t xml:space="preserve"> </w:t>
      </w:r>
      <w:r w:rsidR="009411D4">
        <w:rPr>
          <w:rFonts w:ascii="Bookman Old Style" w:eastAsiaTheme="minorHAnsi" w:hAnsi="Bookman Old Style" w:cs="TimesNewRomanPS-BoldMT"/>
          <w:bCs/>
          <w:szCs w:val="22"/>
          <w:lang w:eastAsia="en-US"/>
        </w:rPr>
        <w:t xml:space="preserve">Il pagamento dei debiti deve avvenire entro 15 giorni dalla data di erogazione dell’anticipazione, che dovrà essere restituita non il 15 dicembre 2019, o comunque al momento </w:t>
      </w:r>
      <w:r>
        <w:rPr>
          <w:rFonts w:ascii="Bookman Old Style" w:eastAsiaTheme="minorHAnsi" w:hAnsi="Bookman Old Style" w:cs="TimesNewRomanPS-BoldMT"/>
          <w:bCs/>
          <w:szCs w:val="22"/>
          <w:lang w:eastAsia="en-US"/>
        </w:rPr>
        <w:t xml:space="preserve">(eventualmente antecedente) </w:t>
      </w:r>
      <w:r w:rsidR="009411D4">
        <w:rPr>
          <w:rFonts w:ascii="Bookman Old Style" w:eastAsiaTheme="minorHAnsi" w:hAnsi="Bookman Old Style" w:cs="TimesNewRomanPS-BoldMT"/>
          <w:bCs/>
          <w:szCs w:val="22"/>
          <w:lang w:eastAsia="en-US"/>
        </w:rPr>
        <w:t>del ripristino di una normale gestione della liquidità. Gli istituti finanziatori possono richiedere la restituzione delle somme erogate e non utilizzate per il pagamento dei debiti (</w:t>
      </w:r>
      <w:r w:rsidR="009411D4" w:rsidRPr="00895D8B">
        <w:rPr>
          <w:rFonts w:ascii="Bookman Old Style" w:eastAsiaTheme="minorHAnsi" w:hAnsi="Bookman Old Style" w:cs="TimesNewRomanPS-BoldMT"/>
          <w:b/>
          <w:bCs/>
          <w:szCs w:val="22"/>
          <w:lang w:eastAsia="en-US"/>
        </w:rPr>
        <w:t>commi 854-856</w:t>
      </w:r>
      <w:r w:rsidR="009411D4">
        <w:rPr>
          <w:rFonts w:ascii="Bookman Old Style" w:eastAsiaTheme="minorHAnsi" w:hAnsi="Bookman Old Style" w:cs="TimesNewRomanPS-BoldMT"/>
          <w:bCs/>
          <w:szCs w:val="22"/>
          <w:lang w:eastAsia="en-US"/>
        </w:rPr>
        <w:t xml:space="preserve">). </w:t>
      </w:r>
    </w:p>
    <w:p w:rsidR="00C37BE7" w:rsidRPr="00C37BE7" w:rsidRDefault="00895D8B" w:rsidP="00C37BE7">
      <w:pPr>
        <w:autoSpaceDE w:val="0"/>
        <w:autoSpaceDN w:val="0"/>
        <w:adjustRightInd w:val="0"/>
        <w:spacing w:after="80"/>
        <w:ind w:firstLine="0"/>
        <w:rPr>
          <w:rFonts w:ascii="Bookman Old Style" w:eastAsiaTheme="minorHAnsi" w:hAnsi="Bookman Old Style" w:cs="TimesNewRomanPS-BoldMT"/>
          <w:bCs/>
          <w:szCs w:val="22"/>
          <w:lang w:eastAsia="en-US"/>
        </w:rPr>
      </w:pPr>
      <w:r w:rsidRPr="00C37BE7">
        <w:rPr>
          <w:rFonts w:ascii="Bookman Old Style" w:eastAsiaTheme="minorHAnsi" w:hAnsi="Bookman Old Style" w:cs="TimesNewRomanPS-BoldMT"/>
          <w:bCs/>
          <w:szCs w:val="22"/>
          <w:lang w:eastAsia="en-US"/>
        </w:rPr>
        <w:t>L’intervento in questione non assicura una reale dotazione di liquidità aggiuntiva</w:t>
      </w:r>
      <w:r w:rsidR="00C37BE7" w:rsidRPr="00C37BE7">
        <w:rPr>
          <w:rFonts w:ascii="Bookman Old Style" w:eastAsiaTheme="minorHAnsi" w:hAnsi="Bookman Old Style" w:cs="TimesNewRomanPS-BoldMT"/>
          <w:bCs/>
          <w:szCs w:val="22"/>
          <w:lang w:eastAsia="en-US"/>
        </w:rPr>
        <w:t xml:space="preserve"> agli enti </w:t>
      </w:r>
      <w:r w:rsidRPr="00C37BE7">
        <w:rPr>
          <w:rFonts w:ascii="Bookman Old Style" w:eastAsiaTheme="minorHAnsi" w:hAnsi="Bookman Old Style" w:cs="TimesNewRomanPS-BoldMT"/>
          <w:bCs/>
          <w:szCs w:val="22"/>
          <w:lang w:eastAsia="en-US"/>
        </w:rPr>
        <w:t>per sostenere il pagamento dei debiti pregressi</w:t>
      </w:r>
      <w:r w:rsidR="00C37BE7" w:rsidRPr="00C37BE7">
        <w:rPr>
          <w:rFonts w:ascii="Bookman Old Style" w:eastAsiaTheme="minorHAnsi" w:hAnsi="Bookman Old Style" w:cs="TimesNewRomanPS-BoldMT"/>
          <w:bCs/>
          <w:szCs w:val="22"/>
          <w:lang w:eastAsia="en-US"/>
        </w:rPr>
        <w:t>, in quanto i termini ristretti di restituzione delle anticipazioni concesse comportano la necessità che le risorse per i pagamenti siano in sostanza nella disponibilità corrente dell’ente richiedente, nell’arco dell’esercizio di concessione dei fondi. Nulla a che vedere con il percorso di anticipazione di liquidità attivato con il dl n. 35 del 2013, che permetteva un lungo periodo di restituzione delle anticipazioni ricevute.</w:t>
      </w:r>
    </w:p>
    <w:p w:rsidR="00895D8B" w:rsidRDefault="00895D8B" w:rsidP="00895D8B">
      <w:pPr>
        <w:autoSpaceDE w:val="0"/>
        <w:autoSpaceDN w:val="0"/>
        <w:adjustRightInd w:val="0"/>
        <w:spacing w:after="80"/>
        <w:ind w:firstLine="0"/>
        <w:rPr>
          <w:rFonts w:ascii="Bookman Old Style" w:eastAsiaTheme="minorHAnsi" w:hAnsi="Bookman Old Style" w:cs="TimesNewRomanPS-BoldMT"/>
          <w:bCs/>
          <w:szCs w:val="22"/>
          <w:lang w:eastAsia="en-US"/>
        </w:rPr>
      </w:pPr>
    </w:p>
    <w:p w:rsidR="009411D4" w:rsidRPr="00C37BE7" w:rsidRDefault="009411D4" w:rsidP="00895D8B">
      <w:pPr>
        <w:pStyle w:val="Titolo2"/>
        <w:ind w:firstLine="0"/>
        <w:rPr>
          <w:rFonts w:ascii="Bookman Old Style" w:hAnsi="Bookman Old Style"/>
          <w:b/>
          <w:sz w:val="22"/>
          <w:szCs w:val="22"/>
        </w:rPr>
      </w:pPr>
      <w:bookmarkStart w:id="104" w:name="_Toc534027999"/>
      <w:bookmarkStart w:id="105" w:name="_Toc533979342"/>
      <w:r w:rsidRPr="005132B6">
        <w:rPr>
          <w:rFonts w:ascii="Bookman Old Style" w:hAnsi="Bookman Old Style"/>
          <w:b/>
          <w:sz w:val="22"/>
        </w:rPr>
        <w:t>Sanzioni per ritardi persistenti nei pagamenti</w:t>
      </w:r>
      <w:bookmarkEnd w:id="104"/>
      <w:r w:rsidR="00895D8B" w:rsidRPr="005132B6">
        <w:rPr>
          <w:rFonts w:ascii="Bookman Old Style" w:hAnsi="Bookman Old Style"/>
          <w:b/>
          <w:sz w:val="22"/>
        </w:rPr>
        <w:t xml:space="preserve"> </w:t>
      </w:r>
      <w:bookmarkEnd w:id="105"/>
    </w:p>
    <w:p w:rsidR="00C37BE7" w:rsidRPr="00C37BE7" w:rsidRDefault="00C37BE7" w:rsidP="00C37BE7">
      <w:pPr>
        <w:autoSpaceDE w:val="0"/>
        <w:autoSpaceDN w:val="0"/>
        <w:adjustRightInd w:val="0"/>
        <w:spacing w:after="80"/>
        <w:ind w:firstLine="0"/>
        <w:rPr>
          <w:rFonts w:ascii="Bookman Old Style" w:eastAsiaTheme="minorHAnsi" w:hAnsi="Bookman Old Style" w:cs="TimesNewRomanPS-BoldMT"/>
          <w:bCs/>
          <w:szCs w:val="22"/>
          <w:lang w:eastAsia="en-US"/>
        </w:rPr>
      </w:pPr>
      <w:r w:rsidRPr="00C37BE7">
        <w:rPr>
          <w:rFonts w:ascii="Bookman Old Style" w:eastAsiaTheme="minorHAnsi" w:hAnsi="Bookman Old Style" w:cs="TimesNewRomanPS-BoldMT"/>
          <w:bCs/>
          <w:szCs w:val="22"/>
          <w:lang w:eastAsia="en-US"/>
        </w:rPr>
        <w:t xml:space="preserve">Il dispositivo di anticipazione rafforzata a breve termine di cui al punto precedente prelude ad un pesantissimo giro di vite sanzionatorio disposto dai </w:t>
      </w:r>
      <w:r w:rsidRPr="00C37BE7">
        <w:rPr>
          <w:rFonts w:ascii="Bookman Old Style" w:eastAsiaTheme="minorHAnsi" w:hAnsi="Bookman Old Style" w:cs="TimesNewRomanPS-BoldMT"/>
          <w:b/>
          <w:bCs/>
          <w:szCs w:val="22"/>
          <w:lang w:eastAsia="en-US"/>
        </w:rPr>
        <w:t>commi da 857 a 865</w:t>
      </w:r>
      <w:r w:rsidRPr="00C37BE7">
        <w:rPr>
          <w:rFonts w:ascii="Bookman Old Style" w:eastAsiaTheme="minorHAnsi" w:hAnsi="Bookman Old Style" w:cs="TimesNewRomanPS-BoldMT"/>
          <w:bCs/>
          <w:szCs w:val="22"/>
          <w:lang w:eastAsia="en-US"/>
        </w:rPr>
        <w:t>, a decorrere dal 2020</w:t>
      </w:r>
      <w:r>
        <w:rPr>
          <w:rFonts w:ascii="Bookman Old Style" w:eastAsiaTheme="minorHAnsi" w:hAnsi="Bookman Old Style" w:cs="TimesNewRomanPS-BoldMT"/>
          <w:bCs/>
          <w:szCs w:val="22"/>
          <w:lang w:eastAsia="en-US"/>
        </w:rPr>
        <w:t xml:space="preserve">. I commi in questione, su cui si tornerà con una specifica nota di approfondimento obbligano gli enti non in regola con i pagamenti ad </w:t>
      </w:r>
      <w:r w:rsidRPr="00C37BE7">
        <w:rPr>
          <w:rFonts w:ascii="Bookman Old Style" w:eastAsiaTheme="minorHAnsi" w:hAnsi="Bookman Old Style" w:cs="TimesNewRomanPS-BoldMT"/>
          <w:bCs/>
          <w:szCs w:val="22"/>
          <w:lang w:eastAsia="en-US"/>
        </w:rPr>
        <w:t xml:space="preserve">ingentissimi </w:t>
      </w:r>
      <w:r>
        <w:rPr>
          <w:rFonts w:ascii="Bookman Old Style" w:eastAsiaTheme="minorHAnsi" w:hAnsi="Bookman Old Style" w:cs="TimesNewRomanPS-BoldMT"/>
          <w:bCs/>
          <w:szCs w:val="22"/>
          <w:lang w:eastAsia="en-US"/>
        </w:rPr>
        <w:t xml:space="preserve">(e del tutto sproporzionati) </w:t>
      </w:r>
      <w:r w:rsidRPr="00C37BE7">
        <w:rPr>
          <w:rFonts w:ascii="Bookman Old Style" w:eastAsiaTheme="minorHAnsi" w:hAnsi="Bookman Old Style" w:cs="TimesNewRomanPS-BoldMT"/>
          <w:bCs/>
          <w:szCs w:val="22"/>
          <w:lang w:eastAsia="en-US"/>
        </w:rPr>
        <w:t>accantonamenti</w:t>
      </w:r>
      <w:r w:rsidR="00EF58EB">
        <w:rPr>
          <w:rFonts w:ascii="Bookman Old Style" w:eastAsiaTheme="minorHAnsi" w:hAnsi="Bookman Old Style" w:cs="TimesNewRomanPS-BoldMT"/>
          <w:bCs/>
          <w:szCs w:val="22"/>
          <w:lang w:eastAsia="en-US"/>
        </w:rPr>
        <w:t xml:space="preserve"> al nuovo “Fondo di garanzia debiti commerciali”</w:t>
      </w:r>
      <w:r>
        <w:rPr>
          <w:rFonts w:ascii="Bookman Old Style" w:eastAsiaTheme="minorHAnsi" w:hAnsi="Bookman Old Style" w:cs="TimesNewRomanPS-BoldMT"/>
          <w:bCs/>
          <w:szCs w:val="22"/>
          <w:lang w:eastAsia="en-US"/>
        </w:rPr>
        <w:t xml:space="preserve">. Evidenti imperfezioni della norma sotto il profilo dei criteri di valutazione adottati – in particolare nel richiedere riduzioni delle fatture pagate anche in assenza di condizioni di ritardo – producono effetti non dovuti anche </w:t>
      </w:r>
      <w:r w:rsidRPr="00C37BE7">
        <w:rPr>
          <w:rFonts w:ascii="Bookman Old Style" w:eastAsiaTheme="minorHAnsi" w:hAnsi="Bookman Old Style" w:cs="TimesNewRomanPS-BoldMT"/>
          <w:bCs/>
          <w:szCs w:val="22"/>
          <w:lang w:eastAsia="en-US"/>
        </w:rPr>
        <w:t>nei casi in cui l’ente locale non ha nessun problema di ritardo nei pagamenti</w:t>
      </w:r>
      <w:r>
        <w:rPr>
          <w:rFonts w:ascii="Bookman Old Style" w:eastAsiaTheme="minorHAnsi" w:hAnsi="Bookman Old Style" w:cs="TimesNewRomanPS-BoldMT"/>
          <w:bCs/>
          <w:szCs w:val="22"/>
          <w:lang w:eastAsia="en-US"/>
        </w:rPr>
        <w:t>.</w:t>
      </w:r>
    </w:p>
    <w:p w:rsidR="002C7DFF" w:rsidRDefault="00EF58EB" w:rsidP="00C37BE7">
      <w:pPr>
        <w:autoSpaceDE w:val="0"/>
        <w:autoSpaceDN w:val="0"/>
        <w:adjustRightInd w:val="0"/>
        <w:spacing w:after="80"/>
        <w:ind w:firstLine="0"/>
        <w:rPr>
          <w:rFonts w:ascii="Bookman Old Style" w:eastAsiaTheme="minorHAnsi" w:hAnsi="Bookman Old Style" w:cs="TimesNewRomanPS-BoldMT"/>
          <w:b/>
          <w:bCs/>
          <w:szCs w:val="22"/>
          <w:lang w:eastAsia="en-US"/>
        </w:rPr>
      </w:pPr>
      <w:r>
        <w:rPr>
          <w:rFonts w:ascii="Bookman Old Style" w:eastAsiaTheme="minorHAnsi" w:hAnsi="Bookman Old Style" w:cs="TimesNewRomanPS-BoldMT"/>
          <w:bCs/>
          <w:szCs w:val="22"/>
          <w:lang w:eastAsia="en-US"/>
        </w:rPr>
        <w:t>Le nuove sanzioni decorrono dal 2020 e non producono effetti diretti sul 2019. Il nocciolo del meccanismo sanzionatorio è costituito</w:t>
      </w:r>
      <w:r w:rsidR="0031020C">
        <w:rPr>
          <w:rFonts w:ascii="Bookman Old Style" w:eastAsiaTheme="minorHAnsi" w:hAnsi="Bookman Old Style" w:cs="TimesNewRomanPS-BoldMT"/>
          <w:bCs/>
          <w:szCs w:val="22"/>
          <w:lang w:eastAsia="en-US"/>
        </w:rPr>
        <w:t xml:space="preserve"> (per gli enti che applicano la contabilità finanziaria)</w:t>
      </w:r>
      <w:r>
        <w:rPr>
          <w:rFonts w:ascii="Bookman Old Style" w:eastAsiaTheme="minorHAnsi" w:hAnsi="Bookman Old Style" w:cs="TimesNewRomanPS-BoldMT"/>
          <w:bCs/>
          <w:szCs w:val="22"/>
          <w:lang w:eastAsia="en-US"/>
        </w:rPr>
        <w:t xml:space="preserve"> dal </w:t>
      </w:r>
      <w:r w:rsidRPr="00EF58EB">
        <w:rPr>
          <w:rFonts w:ascii="Bookman Old Style" w:eastAsiaTheme="minorHAnsi" w:hAnsi="Bookman Old Style" w:cs="TimesNewRomanPS-BoldMT"/>
          <w:b/>
          <w:bCs/>
          <w:szCs w:val="22"/>
          <w:lang w:eastAsia="en-US"/>
        </w:rPr>
        <w:t>comma 862</w:t>
      </w:r>
      <w:r w:rsidR="0031020C">
        <w:rPr>
          <w:rFonts w:ascii="Bookman Old Style" w:eastAsiaTheme="minorHAnsi" w:hAnsi="Bookman Old Style" w:cs="TimesNewRomanPS-BoldMT"/>
          <w:bCs/>
          <w:szCs w:val="22"/>
          <w:lang w:eastAsia="en-US"/>
        </w:rPr>
        <w:t xml:space="preserve">, che stabilisce (sempre dal 2020) che entro il 31 gennaio di ciascun anno sia rilevato lo stato dei pagamenti relativo all’anno precedente e verificate le condizioni di cui al </w:t>
      </w:r>
      <w:r w:rsidR="0031020C" w:rsidRPr="0031020C">
        <w:rPr>
          <w:rFonts w:ascii="Bookman Old Style" w:eastAsiaTheme="minorHAnsi" w:hAnsi="Bookman Old Style" w:cs="TimesNewRomanPS-BoldMT"/>
          <w:b/>
          <w:bCs/>
          <w:szCs w:val="22"/>
          <w:lang w:eastAsia="en-US"/>
        </w:rPr>
        <w:t>comma 859</w:t>
      </w:r>
      <w:r w:rsidR="002C7DFF">
        <w:rPr>
          <w:rFonts w:ascii="Bookman Old Style" w:eastAsiaTheme="minorHAnsi" w:hAnsi="Bookman Old Style" w:cs="TimesNewRomanPS-BoldMT"/>
          <w:b/>
          <w:bCs/>
          <w:szCs w:val="22"/>
          <w:lang w:eastAsia="en-US"/>
        </w:rPr>
        <w:t xml:space="preserve">: </w:t>
      </w:r>
      <w:r w:rsidR="002C7DFF" w:rsidRPr="002C7DFF">
        <w:rPr>
          <w:rFonts w:ascii="Bookman Old Style" w:eastAsiaTheme="minorHAnsi" w:hAnsi="Bookman Old Style" w:cs="TimesNewRomanPS-BoldMT"/>
          <w:bCs/>
          <w:szCs w:val="22"/>
          <w:lang w:eastAsia="en-US"/>
        </w:rPr>
        <w:t>a) se il debito</w:t>
      </w:r>
      <w:r w:rsidR="002C7DFF">
        <w:rPr>
          <w:rFonts w:ascii="Bookman Old Style" w:eastAsiaTheme="minorHAnsi" w:hAnsi="Bookman Old Style" w:cs="TimesNewRomanPS-BoldMT"/>
          <w:b/>
          <w:bCs/>
          <w:szCs w:val="22"/>
          <w:lang w:eastAsia="en-US"/>
        </w:rPr>
        <w:t xml:space="preserve"> </w:t>
      </w:r>
      <w:r w:rsidR="002C7DFF" w:rsidRPr="002C7DFF">
        <w:rPr>
          <w:rFonts w:ascii="Bookman Old Style" w:eastAsiaTheme="minorHAnsi" w:hAnsi="Bookman Old Style" w:cs="TimesNewRomanPS-BoldMT"/>
          <w:bCs/>
          <w:szCs w:val="22"/>
          <w:lang w:eastAsia="en-US"/>
        </w:rPr>
        <w:t>commerciale residuo</w:t>
      </w:r>
      <w:r w:rsidR="002C7DFF">
        <w:rPr>
          <w:rFonts w:ascii="Bookman Old Style" w:eastAsiaTheme="minorHAnsi" w:hAnsi="Bookman Old Style" w:cs="TimesNewRomanPS-BoldMT"/>
          <w:b/>
          <w:bCs/>
          <w:szCs w:val="22"/>
          <w:lang w:eastAsia="en-US"/>
        </w:rPr>
        <w:t xml:space="preserve"> </w:t>
      </w:r>
      <w:r w:rsidR="002C7DFF" w:rsidRPr="002C7DFF">
        <w:rPr>
          <w:rFonts w:ascii="Bookman Old Style" w:eastAsiaTheme="minorHAnsi" w:hAnsi="Bookman Old Style" w:cs="TimesNewRomanPS-BoldMT"/>
          <w:bCs/>
          <w:szCs w:val="22"/>
          <w:lang w:eastAsia="en-US"/>
        </w:rPr>
        <w:t>non si è ridotto almeno del 10% rispetto a quello del secondo esercizio precedente</w:t>
      </w:r>
      <w:r w:rsidR="002C7DFF">
        <w:rPr>
          <w:rFonts w:ascii="Bookman Old Style" w:eastAsiaTheme="minorHAnsi" w:hAnsi="Bookman Old Style" w:cs="TimesNewRomanPS-BoldMT"/>
          <w:bCs/>
          <w:szCs w:val="22"/>
          <w:lang w:eastAsia="en-US"/>
        </w:rPr>
        <w:t xml:space="preserve">; b) se la condizione a) è rispettata, ma l’indicatore di ritardo annuale dei pagamenti (sulle fatture ricevute e scadute l’anno precedente) non rispetta il termini di pagamento dei debiti commerciali di cui al d.lgs. 231 del 2002. </w:t>
      </w:r>
      <w:r w:rsidR="002C7DFF">
        <w:rPr>
          <w:rFonts w:ascii="Bookman Old Style" w:eastAsiaTheme="minorHAnsi" w:hAnsi="Bookman Old Style" w:cs="TimesNewRomanPS-BoldMT"/>
          <w:b/>
          <w:bCs/>
          <w:szCs w:val="22"/>
          <w:lang w:eastAsia="en-US"/>
        </w:rPr>
        <w:t xml:space="preserve"> </w:t>
      </w:r>
    </w:p>
    <w:p w:rsidR="00EF58EB" w:rsidRPr="002C7DFF" w:rsidRDefault="0031020C" w:rsidP="00C37BE7">
      <w:pPr>
        <w:autoSpaceDE w:val="0"/>
        <w:autoSpaceDN w:val="0"/>
        <w:adjustRightInd w:val="0"/>
        <w:spacing w:after="80"/>
        <w:ind w:firstLine="0"/>
        <w:rPr>
          <w:rFonts w:ascii="Bookman Old Style" w:eastAsiaTheme="minorHAnsi" w:hAnsi="Bookman Old Style" w:cs="TimesNewRomanPS-BoldMT"/>
          <w:bCs/>
          <w:szCs w:val="22"/>
          <w:lang w:eastAsia="en-US"/>
        </w:rPr>
      </w:pPr>
      <w:r>
        <w:rPr>
          <w:rFonts w:ascii="Bookman Old Style" w:eastAsiaTheme="minorHAnsi" w:hAnsi="Bookman Old Style" w:cs="TimesNewRomanPS-BoldMT"/>
          <w:bCs/>
          <w:szCs w:val="22"/>
          <w:lang w:eastAsia="en-US"/>
        </w:rPr>
        <w:t xml:space="preserve">In caso di ricorrenza delle condizioni di inottemperanza dei tempi di pagamento, </w:t>
      </w:r>
      <w:r w:rsidRPr="002C7DFF">
        <w:rPr>
          <w:rFonts w:ascii="Bookman Old Style" w:eastAsiaTheme="minorHAnsi" w:hAnsi="Bookman Old Style" w:cs="TimesNewRomanPS-BoldMT"/>
          <w:bCs/>
          <w:szCs w:val="22"/>
          <w:lang w:eastAsia="en-US"/>
        </w:rPr>
        <w:t>“</w:t>
      </w:r>
      <w:r w:rsidRPr="002C7DFF">
        <w:rPr>
          <w:rFonts w:ascii="Bookman Old Style" w:eastAsiaTheme="minorHAnsi" w:hAnsi="Bookman Old Style" w:cs="TimesNewRomanPS-BoldMT"/>
          <w:bCs/>
          <w:i/>
          <w:szCs w:val="22"/>
          <w:lang w:eastAsia="en-US"/>
        </w:rPr>
        <w:t>con delibera di giunta</w:t>
      </w:r>
      <w:r w:rsidRPr="002C7DFF">
        <w:rPr>
          <w:rFonts w:ascii="Bookman Old Style" w:eastAsiaTheme="minorHAnsi" w:hAnsi="Bookman Old Style" w:cs="TimesNewRomanPS-BoldMT"/>
          <w:bCs/>
          <w:szCs w:val="22"/>
          <w:lang w:eastAsia="en-US"/>
        </w:rPr>
        <w:t>” le amministrazioni hanno l’obbligo di stanziare al nuovo fondo di garanzia “</w:t>
      </w:r>
      <w:r w:rsidRPr="002C7DFF">
        <w:rPr>
          <w:rFonts w:ascii="Bookman Old Style" w:eastAsiaTheme="minorHAnsi" w:hAnsi="Bookman Old Style" w:cs="TimesNewRomanPS-BoldMT"/>
          <w:bCs/>
          <w:i/>
          <w:szCs w:val="22"/>
          <w:lang w:eastAsia="en-US"/>
        </w:rPr>
        <w:t>che a fine esercizio confluisce nella quota libera del risultato di amministrazione</w:t>
      </w:r>
      <w:r w:rsidRPr="002C7DFF">
        <w:rPr>
          <w:rFonts w:ascii="Bookman Old Style" w:eastAsiaTheme="minorHAnsi" w:hAnsi="Bookman Old Style" w:cs="TimesNewRomanPS-BoldMT"/>
          <w:bCs/>
          <w:szCs w:val="22"/>
          <w:lang w:eastAsia="en-US"/>
        </w:rPr>
        <w:t xml:space="preserve">”, importi pari: </w:t>
      </w:r>
    </w:p>
    <w:p w:rsidR="00EF58EB" w:rsidRPr="002C7DFF" w:rsidRDefault="00EF58EB" w:rsidP="00C37BE7">
      <w:pPr>
        <w:autoSpaceDE w:val="0"/>
        <w:autoSpaceDN w:val="0"/>
        <w:adjustRightInd w:val="0"/>
        <w:spacing w:after="80"/>
        <w:ind w:firstLine="0"/>
        <w:rPr>
          <w:rFonts w:ascii="Bookman Old Style" w:eastAsiaTheme="minorHAnsi" w:hAnsi="Bookman Old Style" w:cs="TimesNewRomanPS-BoldMT"/>
          <w:bCs/>
          <w:szCs w:val="22"/>
          <w:lang w:eastAsia="en-US"/>
        </w:rPr>
      </w:pPr>
      <w:r w:rsidRPr="002C7DFF">
        <w:rPr>
          <w:rFonts w:ascii="Bookman Old Style" w:eastAsiaTheme="minorHAnsi" w:hAnsi="Bookman Old Style" w:cs="TimesNewRomanPS-BoldMT"/>
          <w:bCs/>
          <w:szCs w:val="22"/>
          <w:lang w:eastAsia="en-US"/>
        </w:rPr>
        <w:t> </w:t>
      </w:r>
      <w:r w:rsidRPr="002C7DFF">
        <w:rPr>
          <w:rFonts w:ascii="Bookman Old Style" w:eastAsiaTheme="minorHAnsi" w:hAnsi="Bookman Old Style" w:cs="TimesNewRomanPS-BoldMT"/>
          <w:bCs/>
          <w:szCs w:val="22"/>
          <w:lang w:eastAsia="en-US"/>
        </w:rPr>
        <w:t> </w:t>
      </w:r>
      <w:r w:rsidRPr="002C7DFF">
        <w:rPr>
          <w:rFonts w:ascii="Bookman Old Style" w:eastAsiaTheme="minorHAnsi" w:hAnsi="Bookman Old Style" w:cs="TimesNewRomanPS-BoldMT"/>
          <w:bCs/>
          <w:szCs w:val="22"/>
          <w:lang w:eastAsia="en-US"/>
        </w:rPr>
        <w:t> </w:t>
      </w:r>
      <w:r w:rsidRPr="002C7DFF">
        <w:rPr>
          <w:rFonts w:ascii="Bookman Old Style" w:eastAsiaTheme="minorHAnsi" w:hAnsi="Bookman Old Style" w:cs="TimesNewRomanPS-BoldMT"/>
          <w:bCs/>
          <w:szCs w:val="22"/>
          <w:lang w:eastAsia="en-US"/>
        </w:rPr>
        <w:t>a) </w:t>
      </w:r>
      <w:r w:rsidRPr="002C7DFF">
        <w:rPr>
          <w:rFonts w:ascii="Bookman Old Style" w:eastAsiaTheme="minorHAnsi" w:hAnsi="Bookman Old Style" w:cs="TimesNewRomanPS-BoldMT"/>
          <w:bCs/>
          <w:i/>
          <w:szCs w:val="22"/>
          <w:lang w:eastAsia="en-US"/>
        </w:rPr>
        <w:t xml:space="preserve">al 5 per cento degli stanziamenti </w:t>
      </w:r>
      <w:r w:rsidR="0031020C" w:rsidRPr="002C7DFF">
        <w:rPr>
          <w:rFonts w:ascii="Bookman Old Style" w:eastAsiaTheme="minorHAnsi" w:hAnsi="Bookman Old Style" w:cs="TimesNewRomanPS-BoldMT"/>
          <w:bCs/>
          <w:i/>
          <w:szCs w:val="22"/>
          <w:lang w:eastAsia="en-US"/>
        </w:rPr>
        <w:t>di spesa d</w:t>
      </w:r>
      <w:r w:rsidRPr="002C7DFF">
        <w:rPr>
          <w:rFonts w:ascii="Bookman Old Style" w:eastAsiaTheme="minorHAnsi" w:hAnsi="Bookman Old Style" w:cs="TimesNewRomanPS-BoldMT"/>
          <w:bCs/>
          <w:i/>
          <w:szCs w:val="22"/>
          <w:lang w:eastAsia="en-US"/>
        </w:rPr>
        <w:t xml:space="preserve">ell'esercizio in corso </w:t>
      </w:r>
      <w:r w:rsidR="0031020C" w:rsidRPr="002C7DFF">
        <w:rPr>
          <w:rFonts w:ascii="Bookman Old Style" w:eastAsiaTheme="minorHAnsi" w:hAnsi="Bookman Old Style" w:cs="TimesNewRomanPS-BoldMT"/>
          <w:bCs/>
          <w:i/>
          <w:szCs w:val="22"/>
          <w:lang w:eastAsia="en-US"/>
        </w:rPr>
        <w:t xml:space="preserve">per </w:t>
      </w:r>
      <w:r w:rsidRPr="002C7DFF">
        <w:rPr>
          <w:rFonts w:ascii="Bookman Old Style" w:eastAsiaTheme="minorHAnsi" w:hAnsi="Bookman Old Style" w:cs="TimesNewRomanPS-BoldMT"/>
          <w:bCs/>
          <w:i/>
          <w:szCs w:val="22"/>
          <w:lang w:eastAsia="en-US"/>
        </w:rPr>
        <w:t>acquisto di beni e servizi</w:t>
      </w:r>
      <w:r w:rsidRPr="002C7DFF">
        <w:rPr>
          <w:rFonts w:ascii="Bookman Old Style" w:eastAsiaTheme="minorHAnsi" w:hAnsi="Bookman Old Style" w:cs="TimesNewRomanPS-BoldMT"/>
          <w:bCs/>
          <w:szCs w:val="22"/>
          <w:lang w:eastAsia="en-US"/>
        </w:rPr>
        <w:t>, in caso di mancata riduzione del 10 per cento del debito commerciale residuo oppure per ritardi superiori a sessanta giorni, registrati nell'esercizio precedente;</w:t>
      </w:r>
    </w:p>
    <w:p w:rsidR="00EF58EB" w:rsidRPr="002C7DFF" w:rsidRDefault="00EF58EB" w:rsidP="00C37BE7">
      <w:pPr>
        <w:autoSpaceDE w:val="0"/>
        <w:autoSpaceDN w:val="0"/>
        <w:adjustRightInd w:val="0"/>
        <w:spacing w:after="80"/>
        <w:ind w:firstLine="0"/>
        <w:rPr>
          <w:rFonts w:ascii="Bookman Old Style" w:eastAsiaTheme="minorHAnsi" w:hAnsi="Bookman Old Style" w:cs="TimesNewRomanPS-BoldMT"/>
          <w:bCs/>
          <w:szCs w:val="22"/>
          <w:lang w:eastAsia="en-US"/>
        </w:rPr>
      </w:pPr>
      <w:r w:rsidRPr="002C7DFF">
        <w:rPr>
          <w:rFonts w:ascii="Bookman Old Style" w:eastAsiaTheme="minorHAnsi" w:hAnsi="Bookman Old Style" w:cs="TimesNewRomanPS-BoldMT"/>
          <w:bCs/>
          <w:szCs w:val="22"/>
          <w:lang w:eastAsia="en-US"/>
        </w:rPr>
        <w:t> </w:t>
      </w:r>
      <w:r w:rsidRPr="002C7DFF">
        <w:rPr>
          <w:rFonts w:ascii="Bookman Old Style" w:eastAsiaTheme="minorHAnsi" w:hAnsi="Bookman Old Style" w:cs="TimesNewRomanPS-BoldMT"/>
          <w:bCs/>
          <w:szCs w:val="22"/>
          <w:lang w:eastAsia="en-US"/>
        </w:rPr>
        <w:t> </w:t>
      </w:r>
      <w:r w:rsidRPr="002C7DFF">
        <w:rPr>
          <w:rFonts w:ascii="Bookman Old Style" w:eastAsiaTheme="minorHAnsi" w:hAnsi="Bookman Old Style" w:cs="TimesNewRomanPS-BoldMT"/>
          <w:bCs/>
          <w:szCs w:val="22"/>
          <w:lang w:eastAsia="en-US"/>
        </w:rPr>
        <w:t> </w:t>
      </w:r>
      <w:r w:rsidRPr="002C7DFF">
        <w:rPr>
          <w:rFonts w:ascii="Bookman Old Style" w:eastAsiaTheme="minorHAnsi" w:hAnsi="Bookman Old Style" w:cs="TimesNewRomanPS-BoldMT"/>
          <w:bCs/>
          <w:szCs w:val="22"/>
          <w:lang w:eastAsia="en-US"/>
        </w:rPr>
        <w:t>b) </w:t>
      </w:r>
      <w:r w:rsidRPr="002C7DFF">
        <w:rPr>
          <w:rFonts w:ascii="Bookman Old Style" w:eastAsiaTheme="minorHAnsi" w:hAnsi="Bookman Old Style" w:cs="TimesNewRomanPS-BoldMT"/>
          <w:bCs/>
          <w:i/>
          <w:szCs w:val="22"/>
          <w:lang w:eastAsia="en-US"/>
        </w:rPr>
        <w:t>al 3 per cento</w:t>
      </w:r>
      <w:r w:rsidRPr="002C7DFF">
        <w:rPr>
          <w:rFonts w:ascii="Bookman Old Style" w:eastAsiaTheme="minorHAnsi" w:hAnsi="Bookman Old Style" w:cs="TimesNewRomanPS-BoldMT"/>
          <w:bCs/>
          <w:szCs w:val="22"/>
          <w:lang w:eastAsia="en-US"/>
        </w:rPr>
        <w:t xml:space="preserve"> degli </w:t>
      </w:r>
      <w:r w:rsidR="0031020C" w:rsidRPr="002C7DFF">
        <w:rPr>
          <w:rFonts w:ascii="Bookman Old Style" w:eastAsiaTheme="minorHAnsi" w:hAnsi="Bookman Old Style" w:cs="TimesNewRomanPS-BoldMT"/>
          <w:bCs/>
          <w:szCs w:val="22"/>
          <w:lang w:eastAsia="en-US"/>
        </w:rPr>
        <w:t xml:space="preserve">stessi </w:t>
      </w:r>
      <w:r w:rsidRPr="002C7DFF">
        <w:rPr>
          <w:rFonts w:ascii="Bookman Old Style" w:eastAsiaTheme="minorHAnsi" w:hAnsi="Bookman Old Style" w:cs="TimesNewRomanPS-BoldMT"/>
          <w:bCs/>
          <w:szCs w:val="22"/>
          <w:lang w:eastAsia="en-US"/>
        </w:rPr>
        <w:t>stanziamenti, per ritardi compresi tra trentuno e sessanta giorni, registrati nell'esercizio precedente;</w:t>
      </w:r>
    </w:p>
    <w:p w:rsidR="00EF58EB" w:rsidRPr="002C7DFF" w:rsidRDefault="00EF58EB" w:rsidP="00C37BE7">
      <w:pPr>
        <w:autoSpaceDE w:val="0"/>
        <w:autoSpaceDN w:val="0"/>
        <w:adjustRightInd w:val="0"/>
        <w:spacing w:after="80"/>
        <w:ind w:firstLine="0"/>
        <w:rPr>
          <w:rFonts w:ascii="Bookman Old Style" w:eastAsiaTheme="minorHAnsi" w:hAnsi="Bookman Old Style" w:cs="TimesNewRomanPS-BoldMT"/>
          <w:bCs/>
          <w:szCs w:val="22"/>
          <w:lang w:eastAsia="en-US"/>
        </w:rPr>
      </w:pPr>
      <w:r w:rsidRPr="002C7DFF">
        <w:rPr>
          <w:rFonts w:ascii="Bookman Old Style" w:eastAsiaTheme="minorHAnsi" w:hAnsi="Bookman Old Style" w:cs="TimesNewRomanPS-BoldMT"/>
          <w:bCs/>
          <w:szCs w:val="22"/>
          <w:lang w:eastAsia="en-US"/>
        </w:rPr>
        <w:t> </w:t>
      </w:r>
      <w:r w:rsidRPr="002C7DFF">
        <w:rPr>
          <w:rFonts w:ascii="Bookman Old Style" w:eastAsiaTheme="minorHAnsi" w:hAnsi="Bookman Old Style" w:cs="TimesNewRomanPS-BoldMT"/>
          <w:bCs/>
          <w:szCs w:val="22"/>
          <w:lang w:eastAsia="en-US"/>
        </w:rPr>
        <w:t> </w:t>
      </w:r>
      <w:r w:rsidRPr="002C7DFF">
        <w:rPr>
          <w:rFonts w:ascii="Bookman Old Style" w:eastAsiaTheme="minorHAnsi" w:hAnsi="Bookman Old Style" w:cs="TimesNewRomanPS-BoldMT"/>
          <w:bCs/>
          <w:szCs w:val="22"/>
          <w:lang w:eastAsia="en-US"/>
        </w:rPr>
        <w:t> </w:t>
      </w:r>
      <w:r w:rsidRPr="002C7DFF">
        <w:rPr>
          <w:rFonts w:ascii="Bookman Old Style" w:eastAsiaTheme="minorHAnsi" w:hAnsi="Bookman Old Style" w:cs="TimesNewRomanPS-BoldMT"/>
          <w:bCs/>
          <w:szCs w:val="22"/>
          <w:lang w:eastAsia="en-US"/>
        </w:rPr>
        <w:t>c) </w:t>
      </w:r>
      <w:r w:rsidRPr="002C7DFF">
        <w:rPr>
          <w:rFonts w:ascii="Bookman Old Style" w:eastAsiaTheme="minorHAnsi" w:hAnsi="Bookman Old Style" w:cs="TimesNewRomanPS-BoldMT"/>
          <w:bCs/>
          <w:i/>
          <w:szCs w:val="22"/>
          <w:lang w:eastAsia="en-US"/>
        </w:rPr>
        <w:t>al 2 per cento</w:t>
      </w:r>
      <w:r w:rsidRPr="002C7DFF">
        <w:rPr>
          <w:rFonts w:ascii="Bookman Old Style" w:eastAsiaTheme="minorHAnsi" w:hAnsi="Bookman Old Style" w:cs="TimesNewRomanPS-BoldMT"/>
          <w:bCs/>
          <w:szCs w:val="22"/>
          <w:lang w:eastAsia="en-US"/>
        </w:rPr>
        <w:t xml:space="preserve"> degli </w:t>
      </w:r>
      <w:r w:rsidR="0031020C" w:rsidRPr="002C7DFF">
        <w:rPr>
          <w:rFonts w:ascii="Bookman Old Style" w:eastAsiaTheme="minorHAnsi" w:hAnsi="Bookman Old Style" w:cs="TimesNewRomanPS-BoldMT"/>
          <w:bCs/>
          <w:szCs w:val="22"/>
          <w:lang w:eastAsia="en-US"/>
        </w:rPr>
        <w:t xml:space="preserve">stessi </w:t>
      </w:r>
      <w:r w:rsidRPr="002C7DFF">
        <w:rPr>
          <w:rFonts w:ascii="Bookman Old Style" w:eastAsiaTheme="minorHAnsi" w:hAnsi="Bookman Old Style" w:cs="TimesNewRomanPS-BoldMT"/>
          <w:bCs/>
          <w:szCs w:val="22"/>
          <w:lang w:eastAsia="en-US"/>
        </w:rPr>
        <w:t>stanziamenti, per ritardi compresi tra undici e trenta giorni, registrati nell'esercizio precedente;</w:t>
      </w:r>
    </w:p>
    <w:p w:rsidR="00EF58EB" w:rsidRDefault="00EF58EB" w:rsidP="00C37BE7">
      <w:pPr>
        <w:autoSpaceDE w:val="0"/>
        <w:autoSpaceDN w:val="0"/>
        <w:adjustRightInd w:val="0"/>
        <w:spacing w:after="80"/>
        <w:ind w:firstLine="0"/>
        <w:rPr>
          <w:rFonts w:ascii="Bookman Old Style" w:eastAsiaTheme="minorHAnsi" w:hAnsi="Bookman Old Style" w:cs="TimesNewRomanPS-BoldMT"/>
          <w:bCs/>
          <w:szCs w:val="22"/>
          <w:lang w:eastAsia="en-US"/>
        </w:rPr>
      </w:pPr>
      <w:r w:rsidRPr="002C7DFF">
        <w:rPr>
          <w:rFonts w:ascii="Bookman Old Style" w:eastAsiaTheme="minorHAnsi" w:hAnsi="Bookman Old Style" w:cs="TimesNewRomanPS-BoldMT"/>
          <w:bCs/>
          <w:szCs w:val="22"/>
          <w:lang w:eastAsia="en-US"/>
        </w:rPr>
        <w:t> </w:t>
      </w:r>
      <w:r w:rsidRPr="002C7DFF">
        <w:rPr>
          <w:rFonts w:ascii="Bookman Old Style" w:eastAsiaTheme="minorHAnsi" w:hAnsi="Bookman Old Style" w:cs="TimesNewRomanPS-BoldMT"/>
          <w:bCs/>
          <w:szCs w:val="22"/>
          <w:lang w:eastAsia="en-US"/>
        </w:rPr>
        <w:t> </w:t>
      </w:r>
      <w:r w:rsidRPr="002C7DFF">
        <w:rPr>
          <w:rFonts w:ascii="Bookman Old Style" w:eastAsiaTheme="minorHAnsi" w:hAnsi="Bookman Old Style" w:cs="TimesNewRomanPS-BoldMT"/>
          <w:bCs/>
          <w:szCs w:val="22"/>
          <w:lang w:eastAsia="en-US"/>
        </w:rPr>
        <w:t> </w:t>
      </w:r>
      <w:r w:rsidRPr="002C7DFF">
        <w:rPr>
          <w:rFonts w:ascii="Bookman Old Style" w:eastAsiaTheme="minorHAnsi" w:hAnsi="Bookman Old Style" w:cs="TimesNewRomanPS-BoldMT"/>
          <w:bCs/>
          <w:szCs w:val="22"/>
          <w:lang w:eastAsia="en-US"/>
        </w:rPr>
        <w:t>d) </w:t>
      </w:r>
      <w:r w:rsidRPr="002C7DFF">
        <w:rPr>
          <w:rFonts w:ascii="Bookman Old Style" w:eastAsiaTheme="minorHAnsi" w:hAnsi="Bookman Old Style" w:cs="TimesNewRomanPS-BoldMT"/>
          <w:bCs/>
          <w:i/>
          <w:szCs w:val="22"/>
          <w:lang w:eastAsia="en-US"/>
        </w:rPr>
        <w:t>all'1 per cento</w:t>
      </w:r>
      <w:r w:rsidRPr="002C7DFF">
        <w:rPr>
          <w:rFonts w:ascii="Bookman Old Style" w:eastAsiaTheme="minorHAnsi" w:hAnsi="Bookman Old Style" w:cs="TimesNewRomanPS-BoldMT"/>
          <w:bCs/>
          <w:szCs w:val="22"/>
          <w:lang w:eastAsia="en-US"/>
        </w:rPr>
        <w:t xml:space="preserve"> degli </w:t>
      </w:r>
      <w:r w:rsidR="0031020C" w:rsidRPr="002C7DFF">
        <w:rPr>
          <w:rFonts w:ascii="Bookman Old Style" w:eastAsiaTheme="minorHAnsi" w:hAnsi="Bookman Old Style" w:cs="TimesNewRomanPS-BoldMT"/>
          <w:bCs/>
          <w:szCs w:val="22"/>
          <w:lang w:eastAsia="en-US"/>
        </w:rPr>
        <w:t>stessi stanziamenti</w:t>
      </w:r>
      <w:r w:rsidRPr="002C7DFF">
        <w:rPr>
          <w:rFonts w:ascii="Bookman Old Style" w:eastAsiaTheme="minorHAnsi" w:hAnsi="Bookman Old Style" w:cs="TimesNewRomanPS-BoldMT"/>
          <w:bCs/>
          <w:szCs w:val="22"/>
          <w:lang w:eastAsia="en-US"/>
        </w:rPr>
        <w:t>, per ritardi compresi tra uno e dieci giorni, registrati nell'esercizio precedente.</w:t>
      </w:r>
    </w:p>
    <w:p w:rsidR="00EF58EB" w:rsidRPr="002C7DFF" w:rsidRDefault="002C7DFF" w:rsidP="00C37BE7">
      <w:pPr>
        <w:autoSpaceDE w:val="0"/>
        <w:autoSpaceDN w:val="0"/>
        <w:adjustRightInd w:val="0"/>
        <w:spacing w:after="80"/>
        <w:ind w:firstLine="0"/>
        <w:rPr>
          <w:rFonts w:ascii="Bookman Old Style" w:eastAsiaTheme="minorHAnsi" w:hAnsi="Bookman Old Style" w:cs="TimesNewRomanPS-BoldMT"/>
          <w:bCs/>
          <w:szCs w:val="22"/>
          <w:lang w:eastAsia="en-US"/>
        </w:rPr>
      </w:pPr>
      <w:r w:rsidRPr="002C7DFF">
        <w:rPr>
          <w:rFonts w:ascii="Bookman Old Style" w:eastAsiaTheme="minorHAnsi" w:hAnsi="Bookman Old Style" w:cs="TimesNewRomanPS-BoldMT"/>
          <w:bCs/>
          <w:szCs w:val="22"/>
          <w:lang w:eastAsia="en-US"/>
        </w:rPr>
        <w:t xml:space="preserve">Va ben tenuto presente che a norma del </w:t>
      </w:r>
      <w:r w:rsidRPr="002C7DFF">
        <w:rPr>
          <w:rFonts w:ascii="Bookman Old Style" w:eastAsiaTheme="minorHAnsi" w:hAnsi="Bookman Old Style" w:cs="TimesNewRomanPS-BoldMT"/>
          <w:b/>
          <w:bCs/>
          <w:szCs w:val="22"/>
          <w:lang w:eastAsia="en-US"/>
        </w:rPr>
        <w:t>comma 861</w:t>
      </w:r>
      <w:r w:rsidRPr="002C7DFF">
        <w:rPr>
          <w:rFonts w:ascii="Bookman Old Style" w:eastAsiaTheme="minorHAnsi" w:hAnsi="Bookman Old Style" w:cs="TimesNewRomanPS-BoldMT"/>
          <w:bCs/>
          <w:szCs w:val="22"/>
          <w:lang w:eastAsia="en-US"/>
        </w:rPr>
        <w:t>, i ritardi</w:t>
      </w:r>
      <w:r w:rsidR="0015649C" w:rsidRPr="005132B6">
        <w:rPr>
          <w:rFonts w:ascii="Bookman Old Style" w:hAnsi="Bookman Old Style"/>
        </w:rPr>
        <w:t xml:space="preserve"> di </w:t>
      </w:r>
      <w:r w:rsidRPr="002C7DFF">
        <w:rPr>
          <w:rFonts w:ascii="Bookman Old Style" w:eastAsiaTheme="minorHAnsi" w:hAnsi="Bookman Old Style" w:cs="TimesNewRomanPS-BoldMT"/>
          <w:bCs/>
          <w:szCs w:val="22"/>
          <w:lang w:eastAsia="en-US"/>
        </w:rPr>
        <w:t>pagamento sono calcolati “</w:t>
      </w:r>
      <w:r w:rsidRPr="002C7DFF">
        <w:rPr>
          <w:rFonts w:ascii="Bookman Old Style" w:eastAsiaTheme="minorHAnsi" w:hAnsi="Bookman Old Style" w:cs="TimesNewRomanPS-BoldMT"/>
          <w:bCs/>
          <w:i/>
          <w:szCs w:val="22"/>
          <w:lang w:eastAsia="en-US"/>
        </w:rPr>
        <w:t xml:space="preserve">mediante la </w:t>
      </w:r>
      <w:r w:rsidRPr="002C7DFF">
        <w:rPr>
          <w:rFonts w:ascii="Bookman Old Style" w:hAnsi="Bookman Old Style" w:cs="Arial"/>
          <w:bCs/>
          <w:i/>
          <w:color w:val="333333"/>
          <w:szCs w:val="22"/>
          <w:shd w:val="clear" w:color="auto" w:fill="FFFFFF"/>
        </w:rPr>
        <w:t>piattaforma elettronica per la gestione telematica del rilascio delle certificazioni</w:t>
      </w:r>
      <w:r w:rsidRPr="002C7DFF">
        <w:rPr>
          <w:rFonts w:ascii="Bookman Old Style" w:hAnsi="Bookman Old Style" w:cs="Arial"/>
          <w:bCs/>
          <w:color w:val="333333"/>
          <w:szCs w:val="22"/>
          <w:shd w:val="clear" w:color="auto" w:fill="FFFFFF"/>
        </w:rPr>
        <w:t>” di cui al dl 35 del 2013 (art. 7, co.1), considerando anche le “</w:t>
      </w:r>
      <w:r w:rsidRPr="002C7DFF">
        <w:rPr>
          <w:rFonts w:ascii="Bookman Old Style" w:hAnsi="Bookman Old Style" w:cs="Arial"/>
          <w:bCs/>
          <w:i/>
          <w:color w:val="333333"/>
          <w:szCs w:val="22"/>
          <w:shd w:val="clear" w:color="auto" w:fill="FFFFFF"/>
        </w:rPr>
        <w:t>fatture scadute che le amministrazioni non hanno ancora provveduto a pagare</w:t>
      </w:r>
      <w:r w:rsidRPr="002C7DFF">
        <w:rPr>
          <w:rFonts w:ascii="Bookman Old Style" w:hAnsi="Bookman Old Style" w:cs="Arial"/>
          <w:b/>
          <w:bCs/>
          <w:color w:val="333333"/>
          <w:szCs w:val="22"/>
          <w:shd w:val="clear" w:color="auto" w:fill="FFFFFF"/>
        </w:rPr>
        <w:t>”.</w:t>
      </w:r>
    </w:p>
    <w:p w:rsidR="0015649C" w:rsidRPr="006F13EE" w:rsidRDefault="002C7DFF" w:rsidP="005132B6">
      <w:pPr>
        <w:shd w:val="clear" w:color="auto" w:fill="FFFFFF"/>
        <w:spacing w:after="80"/>
        <w:ind w:firstLine="0"/>
        <w:rPr>
          <w:rFonts w:ascii="Bookman Old Style" w:hAnsi="Bookman Old Style"/>
        </w:rPr>
      </w:pPr>
      <w:r>
        <w:rPr>
          <w:rFonts w:ascii="Bookman Old Style" w:eastAsiaTheme="minorHAnsi" w:hAnsi="Bookman Old Style" w:cs="TimesNewRomanPS-BoldMT"/>
          <w:bCs/>
          <w:szCs w:val="22"/>
          <w:lang w:eastAsia="en-US"/>
        </w:rPr>
        <w:t xml:space="preserve">La norma punta quindi ad assicurare per via amministrativa </w:t>
      </w:r>
      <w:r w:rsidR="00F8487B">
        <w:rPr>
          <w:rFonts w:ascii="Bookman Old Style" w:eastAsiaTheme="minorHAnsi" w:hAnsi="Bookman Old Style" w:cs="TimesNewRomanPS-BoldMT"/>
          <w:bCs/>
          <w:szCs w:val="22"/>
          <w:lang w:eastAsia="en-US"/>
        </w:rPr>
        <w:t xml:space="preserve">( e con le “maniere forti”) </w:t>
      </w:r>
      <w:r>
        <w:rPr>
          <w:rFonts w:ascii="Bookman Old Style" w:eastAsiaTheme="minorHAnsi" w:hAnsi="Bookman Old Style" w:cs="TimesNewRomanPS-BoldMT"/>
          <w:bCs/>
          <w:szCs w:val="22"/>
          <w:lang w:eastAsia="en-US"/>
        </w:rPr>
        <w:t xml:space="preserve">l’aggiornamento della cd. PCC, una piattaforma mal concepita e mai funzionante con riferimento alle informazioni richieste agli enti locali per l’enormità di adempimenti manuali </w:t>
      </w:r>
      <w:r w:rsidRPr="006F13EE">
        <w:rPr>
          <w:rFonts w:ascii="Bookman Old Style" w:eastAsiaTheme="minorHAnsi" w:hAnsi="Bookman Old Style" w:cs="TimesNewRomanPS-BoldMT"/>
          <w:bCs/>
          <w:szCs w:val="22"/>
          <w:lang w:eastAsia="en-US"/>
        </w:rPr>
        <w:t xml:space="preserve">richiesti agli enti stessi in condizioni da grandissima difficoltà sotto il profilo organizzativo e di scarsità di personale che caratterizza da anni soprattutto i Comuni di minore dimensione. </w:t>
      </w:r>
      <w:r w:rsidR="00F8487B" w:rsidRPr="006F13EE">
        <w:rPr>
          <w:rFonts w:ascii="Bookman Old Style" w:eastAsiaTheme="minorHAnsi" w:hAnsi="Bookman Old Style" w:cs="TimesNewRomanPS-BoldMT"/>
          <w:bCs/>
          <w:szCs w:val="22"/>
          <w:lang w:eastAsia="en-US"/>
        </w:rPr>
        <w:t xml:space="preserve">Non pochi Comuni, quindi, </w:t>
      </w:r>
      <w:r w:rsidR="0015649C" w:rsidRPr="006F13EE">
        <w:rPr>
          <w:rFonts w:ascii="Bookman Old Style" w:hAnsi="Bookman Old Style"/>
        </w:rPr>
        <w:t xml:space="preserve"> non alimentano correttamente la piattaforma</w:t>
      </w:r>
      <w:r w:rsidR="00F8487B" w:rsidRPr="006F13EE">
        <w:rPr>
          <w:rFonts w:ascii="Bookman Old Style" w:eastAsiaTheme="minorHAnsi" w:hAnsi="Bookman Old Style" w:cs="TimesNewRomanPS-BoldMT"/>
          <w:bCs/>
          <w:szCs w:val="22"/>
          <w:lang w:eastAsia="en-US"/>
        </w:rPr>
        <w:t>,</w:t>
      </w:r>
      <w:r w:rsidR="005132B6" w:rsidRPr="006F13EE">
        <w:rPr>
          <w:rFonts w:ascii="Bookman Old Style" w:hAnsi="Bookman Old Style"/>
        </w:rPr>
        <w:t xml:space="preserve"> perché</w:t>
      </w:r>
      <w:r w:rsidR="0015649C" w:rsidRPr="006F13EE">
        <w:rPr>
          <w:rFonts w:ascii="Bookman Old Style" w:hAnsi="Bookman Old Style"/>
        </w:rPr>
        <w:t xml:space="preserve"> non comunicano la scadenza delle fatture</w:t>
      </w:r>
      <w:r w:rsidR="00F8487B" w:rsidRPr="006F13EE">
        <w:rPr>
          <w:rFonts w:ascii="Bookman Old Style" w:eastAsiaTheme="minorHAnsi" w:hAnsi="Bookman Old Style" w:cs="TimesNewRomanPS-BoldMT"/>
          <w:bCs/>
          <w:szCs w:val="22"/>
          <w:lang w:eastAsia="en-US"/>
        </w:rPr>
        <w:t>,</w:t>
      </w:r>
      <w:r w:rsidR="0015649C" w:rsidRPr="006F13EE">
        <w:rPr>
          <w:rFonts w:ascii="Bookman Old Style" w:hAnsi="Bookman Old Style"/>
        </w:rPr>
        <w:t xml:space="preserve"> spesso </w:t>
      </w:r>
      <w:r w:rsidR="00F8487B" w:rsidRPr="006F13EE">
        <w:rPr>
          <w:rFonts w:ascii="Bookman Old Style" w:eastAsiaTheme="minorHAnsi" w:hAnsi="Bookman Old Style" w:cs="TimesNewRomanPS-BoldMT"/>
          <w:bCs/>
          <w:szCs w:val="22"/>
          <w:lang w:eastAsia="en-US"/>
        </w:rPr>
        <w:t xml:space="preserve">da correggere o imputare manualmente e non caricano nel sistema </w:t>
      </w:r>
      <w:r w:rsidR="0015649C" w:rsidRPr="006F13EE">
        <w:rPr>
          <w:rFonts w:ascii="Bookman Old Style" w:hAnsi="Bookman Old Style"/>
        </w:rPr>
        <w:t>le contestazioni o il contenzioso</w:t>
      </w:r>
      <w:r w:rsidR="00F8487B" w:rsidRPr="006F13EE">
        <w:rPr>
          <w:rFonts w:ascii="Bookman Old Style" w:eastAsiaTheme="minorHAnsi" w:hAnsi="Bookman Old Style" w:cs="TimesNewRomanPS-BoldMT"/>
          <w:bCs/>
          <w:szCs w:val="22"/>
          <w:lang w:eastAsia="en-US"/>
        </w:rPr>
        <w:t>, anch’esse operazioni manuali. Come più volte osservato, anche nell’ambito delle attività di impianto di SIOPE+,</w:t>
      </w:r>
      <w:r w:rsidR="0015649C" w:rsidRPr="006F13EE">
        <w:rPr>
          <w:rFonts w:ascii="Bookman Old Style" w:hAnsi="Bookman Old Style"/>
        </w:rPr>
        <w:t xml:space="preserve"> il ritardo rilevato dalla piattaforma è </w:t>
      </w:r>
      <w:r w:rsidR="005132B6" w:rsidRPr="006F13EE">
        <w:rPr>
          <w:rFonts w:ascii="Bookman Old Style" w:eastAsiaTheme="minorHAnsi" w:hAnsi="Bookman Old Style" w:cs="TimesNewRomanPS-BoldMT"/>
          <w:bCs/>
          <w:szCs w:val="22"/>
          <w:lang w:eastAsia="en-US"/>
        </w:rPr>
        <w:t>quindi spesso sovrastimato</w:t>
      </w:r>
      <w:r w:rsidR="00F8487B" w:rsidRPr="006F13EE">
        <w:rPr>
          <w:rFonts w:ascii="Bookman Old Style" w:eastAsiaTheme="minorHAnsi" w:hAnsi="Bookman Old Style" w:cs="TimesNewRomanPS-BoldMT"/>
          <w:bCs/>
          <w:szCs w:val="22"/>
          <w:lang w:eastAsia="en-US"/>
        </w:rPr>
        <w:t>, mentr</w:t>
      </w:r>
      <w:r w:rsidR="005132B6" w:rsidRPr="006F13EE">
        <w:rPr>
          <w:rFonts w:ascii="Bookman Old Style" w:eastAsiaTheme="minorHAnsi" w:hAnsi="Bookman Old Style" w:cs="TimesNewRomanPS-BoldMT"/>
          <w:bCs/>
          <w:szCs w:val="22"/>
          <w:lang w:eastAsia="en-US"/>
        </w:rPr>
        <w:t>e</w:t>
      </w:r>
      <w:r w:rsidR="00F8487B" w:rsidRPr="006F13EE">
        <w:rPr>
          <w:rFonts w:ascii="Bookman Old Style" w:eastAsiaTheme="minorHAnsi" w:hAnsi="Bookman Old Style" w:cs="TimesNewRomanPS-BoldMT"/>
          <w:bCs/>
          <w:szCs w:val="22"/>
          <w:lang w:eastAsia="en-US"/>
        </w:rPr>
        <w:t xml:space="preserve"> con le norme in commento questo diventa dal 2019 l</w:t>
      </w:r>
      <w:r w:rsidR="005132B6" w:rsidRPr="006F13EE">
        <w:rPr>
          <w:rFonts w:ascii="Bookman Old Style" w:eastAsiaTheme="minorHAnsi" w:hAnsi="Bookman Old Style" w:cs="TimesNewRomanPS-BoldMT"/>
          <w:bCs/>
          <w:szCs w:val="22"/>
          <w:lang w:eastAsia="en-US"/>
        </w:rPr>
        <w:t>’unico dato ufficiale di riferi</w:t>
      </w:r>
      <w:r w:rsidR="00F8487B" w:rsidRPr="006F13EE">
        <w:rPr>
          <w:rFonts w:ascii="Bookman Old Style" w:eastAsiaTheme="minorHAnsi" w:hAnsi="Bookman Old Style" w:cs="TimesNewRomanPS-BoldMT"/>
          <w:bCs/>
          <w:szCs w:val="22"/>
          <w:lang w:eastAsia="en-US"/>
        </w:rPr>
        <w:t xml:space="preserve">mento. </w:t>
      </w:r>
    </w:p>
    <w:p w:rsidR="00F8487B" w:rsidRPr="00F8487B" w:rsidRDefault="00F8487B" w:rsidP="00F8487B">
      <w:pPr>
        <w:shd w:val="clear" w:color="auto" w:fill="FFFFFF"/>
        <w:spacing w:after="80"/>
        <w:ind w:firstLine="0"/>
        <w:rPr>
          <w:rFonts w:ascii="Bookman Old Style" w:eastAsiaTheme="minorHAnsi" w:hAnsi="Bookman Old Style" w:cs="TimesNewRomanPS-BoldMT"/>
          <w:bCs/>
          <w:szCs w:val="22"/>
          <w:lang w:eastAsia="en-US"/>
        </w:rPr>
      </w:pPr>
      <w:r w:rsidRPr="006F13EE">
        <w:rPr>
          <w:rFonts w:ascii="Bookman Old Style" w:eastAsiaTheme="minorHAnsi" w:hAnsi="Bookman Old Style" w:cs="TimesNewRomanPS-BoldMT"/>
          <w:bCs/>
          <w:szCs w:val="22"/>
          <w:lang w:eastAsia="en-US"/>
        </w:rPr>
        <w:t>Le nuove norme, in sostanza, addossano ai Comuni le colpe delle disfunzionalità evidenti della PCC, con una operazione dirigista, tipica di una gestione accentrata dell’informatica pubblica – specie in materia finanziaria – tanto diffusa quanto incapace di adattare alla realtà gli strumenti tecnologici che dovrebbero ben considerare le condizioni istituzionali e tecnico-organizzative degli enti cui si rivolgono.</w:t>
      </w:r>
      <w:r w:rsidR="007804F9" w:rsidRPr="006F13EE">
        <w:rPr>
          <w:rFonts w:ascii="Bookman Old Style" w:eastAsiaTheme="minorHAnsi" w:hAnsi="Bookman Old Style" w:cs="TimesNewRomanPS-BoldMT"/>
          <w:bCs/>
          <w:szCs w:val="22"/>
          <w:lang w:eastAsia="en-US"/>
        </w:rPr>
        <w:t xml:space="preserve"> La stretta avviene poi in concomitanza con l’avvio generalizzato del sistema SIOPE+ attivo ormai presso tutti i gli enti locali a segui di un intervento di comunicazione e formazione sui territori che è stato possibile grazie all’attivo contributo dell’ANCI. Invece di ampliare progressivamente il nuovo sistema che già centralizza in flussi informatici centralizzati ogni singolo pagamento delle amministrazioni, si sceglie di mantenere in vita un sistema mal concepito qual è la PCC, il cui superamento sarebbe invece a portata di mano, anche sulla base delle proposte tecniche che ANCI ed IFEL hanno formulato nel gruppo tecnico di coordinamento di SIOPE+.</w:t>
      </w:r>
    </w:p>
    <w:p w:rsidR="00405F7D" w:rsidRDefault="0064714F" w:rsidP="00C37BE7">
      <w:pPr>
        <w:autoSpaceDE w:val="0"/>
        <w:autoSpaceDN w:val="0"/>
        <w:adjustRightInd w:val="0"/>
        <w:spacing w:after="80"/>
        <w:ind w:firstLine="0"/>
        <w:rPr>
          <w:rFonts w:ascii="Bookman Old Style" w:eastAsiaTheme="minorHAnsi" w:hAnsi="Bookman Old Style" w:cs="TimesNewRomanPS-BoldMT"/>
          <w:bCs/>
          <w:szCs w:val="22"/>
          <w:lang w:eastAsia="en-US"/>
        </w:rPr>
      </w:pPr>
      <w:r>
        <w:rPr>
          <w:rFonts w:ascii="Bookman Old Style" w:eastAsiaTheme="minorHAnsi" w:hAnsi="Bookman Old Style" w:cs="TimesNewRomanPS-BoldMT"/>
          <w:bCs/>
          <w:szCs w:val="22"/>
          <w:lang w:eastAsia="en-US"/>
        </w:rPr>
        <w:t>Nel complesso, dunque le norme relative alle condizioni di mitigazione dell’incremento del FCDE (commi 1015-1018), all’acquisizione di anticipazioni ulteriori di liquidità a breve termine (commi 849-858) e sulle successive sanzioni in termini di accantonamenti obbligatori oggetto qui di commento sintetico, configurano il rischio di una ulteriore manovra res</w:t>
      </w:r>
      <w:r w:rsidR="00EF58EB">
        <w:rPr>
          <w:rFonts w:ascii="Bookman Old Style" w:eastAsiaTheme="minorHAnsi" w:hAnsi="Bookman Old Style" w:cs="TimesNewRomanPS-BoldMT"/>
          <w:bCs/>
          <w:szCs w:val="22"/>
          <w:lang w:eastAsia="en-US"/>
        </w:rPr>
        <w:t>trittiva sui bilanci dei Comuni, paragonabile a quanto correntemente prodotto dal Fondo crediti di dubbia esigibilità, in un contesto di grave indifferenza del legislatore e del regolatore alle condizioni strutturali che determinano il persistere di ritardi di pagamento in alcune fasce di Comuni.</w:t>
      </w:r>
    </w:p>
    <w:p w:rsidR="00405F7D" w:rsidRPr="00C37BE7" w:rsidRDefault="00405F7D" w:rsidP="00C37BE7">
      <w:pPr>
        <w:autoSpaceDE w:val="0"/>
        <w:autoSpaceDN w:val="0"/>
        <w:adjustRightInd w:val="0"/>
        <w:spacing w:after="80"/>
        <w:ind w:firstLine="0"/>
        <w:rPr>
          <w:rFonts w:ascii="Bookman Old Style" w:eastAsiaTheme="minorHAnsi" w:hAnsi="Bookman Old Style" w:cs="TimesNewRomanPS-BoldMT"/>
          <w:bCs/>
          <w:szCs w:val="22"/>
          <w:lang w:eastAsia="en-US"/>
        </w:rPr>
      </w:pPr>
    </w:p>
    <w:p w:rsidR="00895D8B" w:rsidRPr="006537DF" w:rsidRDefault="00895D8B" w:rsidP="00895D8B">
      <w:pPr>
        <w:pStyle w:val="Titolo2"/>
        <w:ind w:firstLine="0"/>
        <w:rPr>
          <w:rFonts w:ascii="Bookman Old Style" w:hAnsi="Bookman Old Style"/>
          <w:b/>
          <w:sz w:val="22"/>
          <w:szCs w:val="22"/>
        </w:rPr>
      </w:pPr>
      <w:bookmarkStart w:id="106" w:name="_Toc533784383"/>
      <w:bookmarkStart w:id="107" w:name="_Toc533979343"/>
      <w:bookmarkStart w:id="108" w:name="_Toc534028000"/>
      <w:r w:rsidRPr="006537DF">
        <w:rPr>
          <w:rFonts w:ascii="Bookman Old Style" w:hAnsi="Bookman Old Style"/>
          <w:b/>
          <w:sz w:val="22"/>
          <w:szCs w:val="22"/>
        </w:rPr>
        <w:t>Amministrazioni pubbliche: facoltà di affidamento diretto del servizio di tesoreria a poste italiane</w:t>
      </w:r>
      <w:bookmarkEnd w:id="106"/>
      <w:bookmarkEnd w:id="107"/>
      <w:bookmarkEnd w:id="108"/>
    </w:p>
    <w:p w:rsidR="00895D8B" w:rsidRDefault="00895D8B" w:rsidP="00895D8B">
      <w:pPr>
        <w:spacing w:after="80"/>
        <w:ind w:firstLine="0"/>
        <w:rPr>
          <w:rFonts w:ascii="Bookman Old Style" w:hAnsi="Bookman Old Style"/>
          <w:szCs w:val="22"/>
        </w:rPr>
      </w:pPr>
      <w:r>
        <w:rPr>
          <w:rFonts w:ascii="Bookman Old Style" w:hAnsi="Bookman Old Style"/>
          <w:szCs w:val="22"/>
        </w:rPr>
        <w:t xml:space="preserve">Il </w:t>
      </w:r>
      <w:r w:rsidRPr="000A52F9">
        <w:rPr>
          <w:rFonts w:ascii="Bookman Old Style" w:hAnsi="Bookman Old Style"/>
          <w:b/>
          <w:szCs w:val="22"/>
        </w:rPr>
        <w:t>comma 908</w:t>
      </w:r>
      <w:r w:rsidRPr="00612836">
        <w:rPr>
          <w:rFonts w:ascii="Bookman Old Style" w:hAnsi="Bookman Old Style"/>
          <w:szCs w:val="22"/>
        </w:rPr>
        <w:t xml:space="preserve"> estende </w:t>
      </w:r>
      <w:r>
        <w:rPr>
          <w:rFonts w:ascii="Bookman Old Style" w:hAnsi="Bookman Old Style"/>
          <w:szCs w:val="22"/>
        </w:rPr>
        <w:t>a tutte le</w:t>
      </w:r>
      <w:r w:rsidRPr="00612836">
        <w:rPr>
          <w:rFonts w:ascii="Bookman Old Style" w:hAnsi="Bookman Old Style"/>
          <w:szCs w:val="22"/>
        </w:rPr>
        <w:t xml:space="preserve"> amministrazioni</w:t>
      </w:r>
      <w:r>
        <w:rPr>
          <w:rFonts w:ascii="Bookman Old Style" w:hAnsi="Bookman Old Style"/>
          <w:szCs w:val="22"/>
        </w:rPr>
        <w:t xml:space="preserve"> pubbliche</w:t>
      </w:r>
      <w:r w:rsidRPr="00612836">
        <w:rPr>
          <w:rFonts w:ascii="Bookman Old Style" w:hAnsi="Bookman Old Style"/>
          <w:szCs w:val="22"/>
        </w:rPr>
        <w:t xml:space="preserve"> </w:t>
      </w:r>
      <w:r>
        <w:rPr>
          <w:rFonts w:ascii="Bookman Old Style" w:hAnsi="Bookman Old Style"/>
          <w:szCs w:val="22"/>
        </w:rPr>
        <w:t>(art.</w:t>
      </w:r>
      <w:r w:rsidRPr="00E43DEB">
        <w:rPr>
          <w:rFonts w:ascii="Bookman Old Style" w:hAnsi="Bookman Old Style"/>
          <w:szCs w:val="22"/>
        </w:rPr>
        <w:t>1, co</w:t>
      </w:r>
      <w:r>
        <w:rPr>
          <w:rFonts w:ascii="Bookman Old Style" w:hAnsi="Bookman Old Style"/>
          <w:szCs w:val="22"/>
        </w:rPr>
        <w:t>.</w:t>
      </w:r>
      <w:r w:rsidRPr="00E43DEB">
        <w:rPr>
          <w:rFonts w:ascii="Bookman Old Style" w:hAnsi="Bookman Old Style"/>
          <w:szCs w:val="22"/>
        </w:rPr>
        <w:t>2,</w:t>
      </w:r>
      <w:r>
        <w:rPr>
          <w:rFonts w:ascii="Bookman Old Style" w:hAnsi="Bookman Old Style"/>
          <w:szCs w:val="22"/>
        </w:rPr>
        <w:t xml:space="preserve"> </w:t>
      </w:r>
      <w:r w:rsidRPr="00E43DEB">
        <w:rPr>
          <w:rFonts w:ascii="Bookman Old Style" w:hAnsi="Bookman Old Style"/>
          <w:szCs w:val="22"/>
        </w:rPr>
        <w:t xml:space="preserve">del </w:t>
      </w:r>
      <w:r>
        <w:rPr>
          <w:rFonts w:ascii="Bookman Old Style" w:hAnsi="Bookman Old Style"/>
          <w:szCs w:val="22"/>
        </w:rPr>
        <w:t xml:space="preserve">d.lgs. </w:t>
      </w:r>
      <w:r w:rsidRPr="00E43DEB">
        <w:rPr>
          <w:rFonts w:ascii="Bookman Old Style" w:hAnsi="Bookman Old Style"/>
          <w:szCs w:val="22"/>
        </w:rPr>
        <w:t xml:space="preserve">n. </w:t>
      </w:r>
      <w:r>
        <w:rPr>
          <w:rFonts w:ascii="Bookman Old Style" w:hAnsi="Bookman Old Style"/>
          <w:szCs w:val="22"/>
        </w:rPr>
        <w:t>1</w:t>
      </w:r>
      <w:r w:rsidRPr="00E43DEB">
        <w:rPr>
          <w:rFonts w:ascii="Bookman Old Style" w:hAnsi="Bookman Old Style"/>
          <w:szCs w:val="22"/>
        </w:rPr>
        <w:t>65 del 2001</w:t>
      </w:r>
      <w:r>
        <w:rPr>
          <w:rFonts w:ascii="Bookman Old Style" w:hAnsi="Bookman Old Style"/>
          <w:szCs w:val="22"/>
        </w:rPr>
        <w:t xml:space="preserve">) </w:t>
      </w:r>
      <w:r w:rsidRPr="00612836">
        <w:rPr>
          <w:rFonts w:ascii="Bookman Old Style" w:hAnsi="Bookman Old Style"/>
          <w:szCs w:val="22"/>
        </w:rPr>
        <w:t xml:space="preserve">operanti nei piccoli </w:t>
      </w:r>
      <w:r>
        <w:rPr>
          <w:rFonts w:ascii="Bookman Old Style" w:hAnsi="Bookman Old Style"/>
          <w:szCs w:val="22"/>
        </w:rPr>
        <w:t>C</w:t>
      </w:r>
      <w:r w:rsidRPr="00612836">
        <w:rPr>
          <w:rFonts w:ascii="Bookman Old Style" w:hAnsi="Bookman Old Style"/>
          <w:szCs w:val="22"/>
        </w:rPr>
        <w:t xml:space="preserve">omuni la facoltà, già concessa ai piccoli </w:t>
      </w:r>
      <w:r>
        <w:rPr>
          <w:rFonts w:ascii="Bookman Old Style" w:hAnsi="Bookman Old Style"/>
          <w:szCs w:val="22"/>
        </w:rPr>
        <w:t>C</w:t>
      </w:r>
      <w:r w:rsidRPr="00612836">
        <w:rPr>
          <w:rFonts w:ascii="Bookman Old Style" w:hAnsi="Bookman Old Style"/>
          <w:szCs w:val="22"/>
        </w:rPr>
        <w:t xml:space="preserve">omuni </w:t>
      </w:r>
      <w:r>
        <w:rPr>
          <w:rFonts w:ascii="Bookman Old Style" w:hAnsi="Bookman Old Style"/>
          <w:szCs w:val="22"/>
        </w:rPr>
        <w:t>medesimi</w:t>
      </w:r>
      <w:r w:rsidRPr="00612836">
        <w:rPr>
          <w:rFonts w:ascii="Bookman Old Style" w:hAnsi="Bookman Old Style"/>
          <w:szCs w:val="22"/>
        </w:rPr>
        <w:t xml:space="preserve"> dalla legge n. 158/2017 (</w:t>
      </w:r>
      <w:r>
        <w:rPr>
          <w:rFonts w:ascii="Bookman Old Style" w:hAnsi="Bookman Old Style"/>
          <w:szCs w:val="22"/>
        </w:rPr>
        <w:t xml:space="preserve">“legge Realacci”, </w:t>
      </w:r>
      <w:r w:rsidRPr="00612836">
        <w:rPr>
          <w:rFonts w:ascii="Bookman Old Style" w:hAnsi="Bookman Old Style"/>
          <w:szCs w:val="22"/>
        </w:rPr>
        <w:t xml:space="preserve">art. 9, co. 3, lett. b), di </w:t>
      </w:r>
      <w:r>
        <w:rPr>
          <w:rFonts w:ascii="Bookman Old Style" w:hAnsi="Bookman Old Style"/>
          <w:szCs w:val="22"/>
        </w:rPr>
        <w:t xml:space="preserve">affidare in via diretta a </w:t>
      </w:r>
      <w:r w:rsidRPr="00612836">
        <w:rPr>
          <w:rFonts w:ascii="Bookman Old Style" w:hAnsi="Bookman Old Style"/>
          <w:szCs w:val="22"/>
        </w:rPr>
        <w:t>Poste italiane la gestione del servizio di tesoreria.</w:t>
      </w:r>
    </w:p>
    <w:p w:rsidR="00895D8B" w:rsidRPr="00612836" w:rsidRDefault="00895D8B" w:rsidP="00895D8B">
      <w:pPr>
        <w:spacing w:after="80"/>
        <w:ind w:firstLine="0"/>
        <w:rPr>
          <w:rFonts w:ascii="Bookman Old Style" w:hAnsi="Bookman Old Style"/>
          <w:szCs w:val="22"/>
        </w:rPr>
      </w:pPr>
      <w:r>
        <w:rPr>
          <w:rFonts w:ascii="Bookman Old Style" w:hAnsi="Bookman Old Style"/>
          <w:szCs w:val="22"/>
        </w:rPr>
        <w:t xml:space="preserve">Occorre a tal proposito ricordare che il comma 878 della legge di bilancio 2018 (L. 205/2017), ha autorizzato la Cassa depositi e prestiti a concedere anticipazioni di tesoreria agli enti che ne facciano richiesta nell’ambito delle attività di gestione del servizio di tesoreria affidato a Poste italiane. </w:t>
      </w:r>
    </w:p>
    <w:p w:rsidR="00895D8B" w:rsidRPr="00E43DEB" w:rsidRDefault="00895D8B" w:rsidP="00895D8B">
      <w:pPr>
        <w:spacing w:after="80"/>
        <w:ind w:firstLine="0"/>
        <w:rPr>
          <w:rFonts w:ascii="Bookman Old Style" w:hAnsi="Bookman Old Style"/>
          <w:szCs w:val="22"/>
        </w:rPr>
      </w:pPr>
      <w:r w:rsidRPr="00E43DEB">
        <w:rPr>
          <w:rFonts w:ascii="Bookman Old Style" w:hAnsi="Bookman Old Style"/>
          <w:szCs w:val="22"/>
        </w:rPr>
        <w:t xml:space="preserve">Le amministrazioni interessate </w:t>
      </w:r>
      <w:r>
        <w:rPr>
          <w:rFonts w:ascii="Bookman Old Style" w:hAnsi="Bookman Old Style"/>
          <w:szCs w:val="22"/>
        </w:rPr>
        <w:t xml:space="preserve">dalla norma sono </w:t>
      </w:r>
      <w:r w:rsidRPr="00E43DEB">
        <w:rPr>
          <w:rFonts w:ascii="Bookman Old Style" w:hAnsi="Bookman Old Style"/>
          <w:szCs w:val="22"/>
        </w:rPr>
        <w:t xml:space="preserve">tutte le amministrazioni dello Stato, ivi compresi gli istituti e scuole di ogni  </w:t>
      </w:r>
      <w:r>
        <w:rPr>
          <w:rFonts w:ascii="Bookman Old Style" w:hAnsi="Bookman Old Style"/>
          <w:szCs w:val="22"/>
        </w:rPr>
        <w:t>o</w:t>
      </w:r>
      <w:r w:rsidRPr="00E43DEB">
        <w:rPr>
          <w:rFonts w:ascii="Bookman Old Style" w:hAnsi="Bookman Old Style"/>
          <w:szCs w:val="22"/>
        </w:rPr>
        <w:t xml:space="preserve">rdine e grado e le istituzioni educative, le aziende ed amministrazioni dello Stato ad  ordinamento autonomo, le Regioni, le Province, i Comuni, le Comunità montane, e loro consorzi e associazioni, le istituzioni universitarie, gli Istituti autonomi case popolari, le Camere di commercio, industria, artigianato e agricoltura e loro associazioni, tutti  gli  enti  pubblici  non  economici  nazionali, regionali e locali, le amministrazioni, le aziende e gli  enti del </w:t>
      </w:r>
      <w:r>
        <w:rPr>
          <w:rFonts w:ascii="Bookman Old Style" w:hAnsi="Bookman Old Style"/>
          <w:szCs w:val="22"/>
        </w:rPr>
        <w:t>SSN</w:t>
      </w:r>
      <w:r w:rsidRPr="00E43DEB">
        <w:rPr>
          <w:rFonts w:ascii="Bookman Old Style" w:hAnsi="Bookman Old Style"/>
          <w:szCs w:val="22"/>
        </w:rPr>
        <w:t>,</w:t>
      </w:r>
      <w:r>
        <w:rPr>
          <w:rFonts w:ascii="Bookman Old Style" w:hAnsi="Bookman Old Style"/>
          <w:szCs w:val="22"/>
        </w:rPr>
        <w:t xml:space="preserve"> </w:t>
      </w:r>
      <w:r w:rsidRPr="00E43DEB">
        <w:rPr>
          <w:rFonts w:ascii="Bookman Old Style" w:hAnsi="Bookman Old Style"/>
          <w:szCs w:val="22"/>
        </w:rPr>
        <w:t>l'ARAN</w:t>
      </w:r>
      <w:r>
        <w:rPr>
          <w:rFonts w:ascii="Bookman Old Style" w:hAnsi="Bookman Old Style"/>
          <w:szCs w:val="22"/>
        </w:rPr>
        <w:t xml:space="preserve"> </w:t>
      </w:r>
      <w:r w:rsidRPr="00E43DEB">
        <w:rPr>
          <w:rFonts w:ascii="Bookman Old Style" w:hAnsi="Bookman Old Style"/>
          <w:szCs w:val="22"/>
        </w:rPr>
        <w:t xml:space="preserve">e le Agenzie </w:t>
      </w:r>
      <w:r>
        <w:rPr>
          <w:rFonts w:ascii="Bookman Old Style" w:hAnsi="Bookman Old Style"/>
          <w:szCs w:val="22"/>
        </w:rPr>
        <w:t>fiscali</w:t>
      </w:r>
      <w:r w:rsidRPr="00E43DEB">
        <w:rPr>
          <w:rFonts w:ascii="Bookman Old Style" w:hAnsi="Bookman Old Style"/>
          <w:szCs w:val="22"/>
        </w:rPr>
        <w:t>.</w:t>
      </w:r>
    </w:p>
    <w:p w:rsidR="00895D8B" w:rsidRPr="001B41BD" w:rsidRDefault="00895D8B" w:rsidP="00895D8B">
      <w:pPr>
        <w:pStyle w:val="NormaleWeb"/>
        <w:spacing w:before="0" w:beforeAutospacing="0" w:after="80" w:afterAutospacing="0" w:line="300" w:lineRule="atLeast"/>
        <w:jc w:val="both"/>
        <w:rPr>
          <w:rFonts w:ascii="Bookman Old Style" w:hAnsi="Bookman Old Style"/>
          <w:sz w:val="22"/>
          <w:szCs w:val="22"/>
        </w:rPr>
      </w:pPr>
      <w:r w:rsidRPr="000A52F9">
        <w:rPr>
          <w:rFonts w:ascii="Bookman Old Style" w:hAnsi="Bookman Old Style"/>
          <w:sz w:val="22"/>
          <w:szCs w:val="22"/>
        </w:rPr>
        <w:t>La norma ha un’indiretta influenza sui Comuni in quanto, da un lato, amplia la gamma di servizi che possono essere affidati a Poste Italiane in condizioni di scarsa disponibilità dell’offerta bancaria e, dall’altro, conferma</w:t>
      </w:r>
      <w:r w:rsidR="001D63AD">
        <w:rPr>
          <w:rFonts w:ascii="Bookman Old Style" w:hAnsi="Bookman Old Style"/>
          <w:sz w:val="22"/>
          <w:szCs w:val="22"/>
        </w:rPr>
        <w:t xml:space="preserve">, oltre ogni dubbio interpretativo, </w:t>
      </w:r>
      <w:r w:rsidRPr="000A52F9">
        <w:rPr>
          <w:rFonts w:ascii="Bookman Old Style" w:hAnsi="Bookman Old Style"/>
          <w:sz w:val="22"/>
          <w:szCs w:val="22"/>
        </w:rPr>
        <w:t>l’intenzione del citato articolo 9 della “legge Realacci” di concedere la facoltà di affidamento diretto dei servizi di tesoreria anche da parte dei Comuni interessati, in deroga alle procedure del codice degli appalti.</w:t>
      </w:r>
      <w:r w:rsidRPr="001B41BD">
        <w:rPr>
          <w:rFonts w:ascii="Bookman Old Style" w:hAnsi="Bookman Old Style"/>
          <w:sz w:val="22"/>
          <w:szCs w:val="22"/>
        </w:rPr>
        <w:t xml:space="preserve"> </w:t>
      </w:r>
    </w:p>
    <w:p w:rsidR="00D23905" w:rsidRPr="00D66144" w:rsidRDefault="00D23905" w:rsidP="00F75BA7">
      <w:pPr>
        <w:spacing w:after="80"/>
        <w:ind w:firstLine="0"/>
        <w:rPr>
          <w:rFonts w:ascii="Bookman Old Style" w:hAnsi="Bookman Old Style" w:cs="Calibri"/>
          <w:iCs/>
          <w:color w:val="000000"/>
          <w:szCs w:val="22"/>
        </w:rPr>
      </w:pPr>
    </w:p>
    <w:p w:rsidR="00350856" w:rsidRPr="00180E55" w:rsidRDefault="00350856" w:rsidP="00350856">
      <w:pPr>
        <w:pStyle w:val="Titolo2"/>
        <w:ind w:firstLine="0"/>
        <w:rPr>
          <w:rFonts w:ascii="Bookman Old Style" w:hAnsi="Bookman Old Style"/>
          <w:b/>
          <w:sz w:val="22"/>
          <w:szCs w:val="22"/>
        </w:rPr>
      </w:pPr>
      <w:bookmarkStart w:id="109" w:name="_Toc533836467"/>
      <w:bookmarkStart w:id="110" w:name="_Toc533979344"/>
      <w:bookmarkStart w:id="111" w:name="_Toc534028001"/>
      <w:r w:rsidRPr="00180E55">
        <w:rPr>
          <w:rFonts w:ascii="Bookman Old Style" w:hAnsi="Bookman Old Style"/>
          <w:b/>
          <w:sz w:val="22"/>
          <w:szCs w:val="22"/>
        </w:rPr>
        <w:t>Erogazioni liberali per interventi su edifici e terreni pubblici</w:t>
      </w:r>
      <w:bookmarkEnd w:id="109"/>
      <w:bookmarkEnd w:id="110"/>
      <w:bookmarkEnd w:id="111"/>
    </w:p>
    <w:p w:rsidR="00350856" w:rsidRDefault="00350856" w:rsidP="00350856">
      <w:pPr>
        <w:ind w:firstLine="0"/>
        <w:rPr>
          <w:rFonts w:ascii="Bookman Old Style" w:hAnsi="Bookman Old Style"/>
        </w:rPr>
      </w:pPr>
      <w:r w:rsidRPr="00180E55">
        <w:rPr>
          <w:rFonts w:ascii="Bookman Old Style" w:hAnsi="Bookman Old Style"/>
        </w:rPr>
        <w:t xml:space="preserve">I </w:t>
      </w:r>
      <w:r w:rsidRPr="00350856">
        <w:rPr>
          <w:rFonts w:ascii="Bookman Old Style" w:hAnsi="Bookman Old Style"/>
          <w:b/>
        </w:rPr>
        <w:t>commi da 156</w:t>
      </w:r>
      <w:r w:rsidRPr="00180E55">
        <w:rPr>
          <w:rFonts w:ascii="Bookman Old Style" w:hAnsi="Bookman Old Style"/>
          <w:b/>
        </w:rPr>
        <w:t xml:space="preserve"> a 161</w:t>
      </w:r>
      <w:r w:rsidRPr="00180E55">
        <w:rPr>
          <w:rFonts w:ascii="Bookman Old Style" w:hAnsi="Bookman Old Style"/>
        </w:rPr>
        <w:t xml:space="preserve"> istituiscono un credito d’imposta pari al 65 per</w:t>
      </w:r>
      <w:r>
        <w:rPr>
          <w:rFonts w:ascii="Bookman Old Style" w:hAnsi="Bookman Old Style"/>
        </w:rPr>
        <w:t xml:space="preserve"> </w:t>
      </w:r>
      <w:r w:rsidRPr="00180E55">
        <w:rPr>
          <w:rFonts w:ascii="Bookman Old Style" w:hAnsi="Bookman Old Style"/>
        </w:rPr>
        <w:t>cento delle erogazioni liberali per interventi di bonifica ambientale su edifici e terreni pubblici, compresa la rimozione dell’amianto dagli edifici,</w:t>
      </w:r>
      <w:r>
        <w:rPr>
          <w:rFonts w:ascii="Bookman Old Style" w:hAnsi="Bookman Old Style"/>
        </w:rPr>
        <w:t xml:space="preserve"> la </w:t>
      </w:r>
      <w:r w:rsidRPr="00180E55">
        <w:rPr>
          <w:rFonts w:ascii="Bookman Old Style" w:hAnsi="Bookman Old Style"/>
        </w:rPr>
        <w:t xml:space="preserve">prevenzione e </w:t>
      </w:r>
      <w:r>
        <w:rPr>
          <w:rFonts w:ascii="Bookman Old Style" w:hAnsi="Bookman Old Style"/>
        </w:rPr>
        <w:t xml:space="preserve">il </w:t>
      </w:r>
      <w:r w:rsidRPr="00180E55">
        <w:rPr>
          <w:rFonts w:ascii="Bookman Old Style" w:hAnsi="Bookman Old Style"/>
        </w:rPr>
        <w:t xml:space="preserve">risanamento del dissesto idrogeologico, </w:t>
      </w:r>
      <w:r>
        <w:rPr>
          <w:rFonts w:ascii="Bookman Old Style" w:hAnsi="Bookman Old Style"/>
        </w:rPr>
        <w:t xml:space="preserve">la </w:t>
      </w:r>
      <w:r w:rsidRPr="00180E55">
        <w:rPr>
          <w:rFonts w:ascii="Bookman Old Style" w:hAnsi="Bookman Old Style"/>
        </w:rPr>
        <w:t>realizzazione o</w:t>
      </w:r>
      <w:r>
        <w:rPr>
          <w:rFonts w:ascii="Bookman Old Style" w:hAnsi="Bookman Old Style"/>
        </w:rPr>
        <w:t xml:space="preserve"> </w:t>
      </w:r>
      <w:r w:rsidRPr="00180E55">
        <w:rPr>
          <w:rFonts w:ascii="Bookman Old Style" w:hAnsi="Bookman Old Style"/>
        </w:rPr>
        <w:t xml:space="preserve">ristrutturazione di parchi e aree verdi attrezzate e </w:t>
      </w:r>
      <w:r>
        <w:rPr>
          <w:rFonts w:ascii="Bookman Old Style" w:hAnsi="Bookman Old Style"/>
        </w:rPr>
        <w:t xml:space="preserve">il </w:t>
      </w:r>
      <w:r w:rsidRPr="00180E55">
        <w:rPr>
          <w:rFonts w:ascii="Bookman Old Style" w:hAnsi="Bookman Old Style"/>
        </w:rPr>
        <w:t>recupero di aree dismesse</w:t>
      </w:r>
      <w:r>
        <w:rPr>
          <w:rFonts w:ascii="Bookman Old Style" w:hAnsi="Bookman Old Style"/>
        </w:rPr>
        <w:t xml:space="preserve"> </w:t>
      </w:r>
      <w:r w:rsidRPr="00180E55">
        <w:rPr>
          <w:rFonts w:ascii="Bookman Old Style" w:hAnsi="Bookman Old Style"/>
        </w:rPr>
        <w:t>di proprietà pubblica.</w:t>
      </w:r>
    </w:p>
    <w:p w:rsidR="00350856" w:rsidRDefault="00350856" w:rsidP="00350856">
      <w:pPr>
        <w:pStyle w:val="Titolo2"/>
        <w:ind w:firstLine="0"/>
        <w:rPr>
          <w:rFonts w:ascii="Bookman Old Style" w:hAnsi="Bookman Old Style"/>
          <w:b/>
          <w:sz w:val="22"/>
          <w:szCs w:val="22"/>
        </w:rPr>
      </w:pPr>
      <w:bookmarkStart w:id="112" w:name="_Toc533836470"/>
    </w:p>
    <w:p w:rsidR="00350856" w:rsidRPr="00036521" w:rsidRDefault="00350856" w:rsidP="00350856">
      <w:pPr>
        <w:pStyle w:val="Titolo2"/>
        <w:ind w:firstLine="0"/>
        <w:rPr>
          <w:rFonts w:ascii="Bookman Old Style" w:hAnsi="Bookman Old Style"/>
          <w:b/>
          <w:sz w:val="22"/>
          <w:szCs w:val="22"/>
        </w:rPr>
      </w:pPr>
      <w:bookmarkStart w:id="113" w:name="_Toc533979345"/>
      <w:bookmarkStart w:id="114" w:name="_Toc534028002"/>
      <w:r w:rsidRPr="00036521">
        <w:rPr>
          <w:rFonts w:ascii="Bookman Old Style" w:hAnsi="Bookman Old Style"/>
          <w:b/>
          <w:sz w:val="22"/>
          <w:szCs w:val="22"/>
        </w:rPr>
        <w:t>Fondo “Sport e periferie”</w:t>
      </w:r>
      <w:bookmarkEnd w:id="112"/>
      <w:bookmarkEnd w:id="113"/>
      <w:bookmarkEnd w:id="114"/>
    </w:p>
    <w:p w:rsidR="00350856" w:rsidRDefault="00350856" w:rsidP="00350856">
      <w:pPr>
        <w:ind w:firstLine="0"/>
        <w:rPr>
          <w:rFonts w:ascii="Bookman Old Style" w:hAnsi="Bookman Old Style"/>
        </w:rPr>
      </w:pPr>
      <w:r w:rsidRPr="00714A95">
        <w:rPr>
          <w:rFonts w:ascii="Bookman Old Style" w:hAnsi="Bookman Old Style"/>
        </w:rPr>
        <w:t xml:space="preserve">Il </w:t>
      </w:r>
      <w:r w:rsidRPr="00180E55">
        <w:rPr>
          <w:rFonts w:ascii="Bookman Old Style" w:hAnsi="Bookman Old Style"/>
          <w:b/>
        </w:rPr>
        <w:t xml:space="preserve">comma 640 </w:t>
      </w:r>
      <w:r w:rsidRPr="00714A95">
        <w:rPr>
          <w:rFonts w:ascii="Bookman Old Style" w:hAnsi="Bookman Old Style"/>
        </w:rPr>
        <w:t>prevede che le risorse previste per le opere segnalate dai Comuni alla Presidenza del Consiglio dei ministri dal 2 al 15 giugno 2014 (c.d. Cantieri in comune), non assegnate o non utilizzate, siano versate all’entrata del bilancio dello Stato per la successiva riassegnazione, con delibera CIPE, allo stato di previsione del MEF, al Fondo “Sport e Periferie”.</w:t>
      </w:r>
      <w:r w:rsidRPr="00714A95">
        <w:rPr>
          <w:rFonts w:ascii="Bookman Old Style" w:hAnsi="Bookman Old Style"/>
        </w:rPr>
        <w:cr/>
      </w:r>
    </w:p>
    <w:p w:rsidR="00E82A65" w:rsidRPr="00E82A65" w:rsidRDefault="00E82A65" w:rsidP="00E82A65">
      <w:pPr>
        <w:pStyle w:val="Titolo2"/>
        <w:ind w:firstLine="0"/>
        <w:rPr>
          <w:rFonts w:ascii="Bookman Old Style" w:hAnsi="Bookman Old Style"/>
          <w:b/>
          <w:sz w:val="22"/>
          <w:szCs w:val="22"/>
        </w:rPr>
      </w:pPr>
      <w:bookmarkStart w:id="115" w:name="_Toc533839443"/>
      <w:bookmarkStart w:id="116" w:name="_Toc533979346"/>
      <w:bookmarkStart w:id="117" w:name="_Toc534028003"/>
      <w:r>
        <w:rPr>
          <w:rFonts w:ascii="Bookman Old Style" w:hAnsi="Bookman Old Style"/>
          <w:b/>
          <w:sz w:val="22"/>
          <w:szCs w:val="22"/>
        </w:rPr>
        <w:t>S</w:t>
      </w:r>
      <w:r w:rsidRPr="00E82A65">
        <w:rPr>
          <w:rFonts w:ascii="Bookman Old Style" w:hAnsi="Bookman Old Style"/>
          <w:b/>
          <w:sz w:val="22"/>
          <w:szCs w:val="22"/>
        </w:rPr>
        <w:t>pese per lavori pubblici urgenti degli enti locali</w:t>
      </w:r>
      <w:bookmarkEnd w:id="115"/>
      <w:bookmarkEnd w:id="116"/>
      <w:bookmarkEnd w:id="117"/>
    </w:p>
    <w:p w:rsidR="00E82A65" w:rsidRPr="004B5F00" w:rsidRDefault="00E82A65" w:rsidP="00E82A65">
      <w:pPr>
        <w:ind w:firstLine="0"/>
        <w:rPr>
          <w:rFonts w:ascii="Bookman Old Style" w:eastAsiaTheme="minorEastAsia" w:hAnsi="Bookman Old Style"/>
        </w:rPr>
      </w:pPr>
      <w:r>
        <w:rPr>
          <w:rFonts w:ascii="Bookman Old Style" w:eastAsiaTheme="minorEastAsia" w:hAnsi="Bookman Old Style"/>
        </w:rPr>
        <w:t xml:space="preserve">Il </w:t>
      </w:r>
      <w:r w:rsidRPr="00E82A65">
        <w:rPr>
          <w:rFonts w:ascii="Bookman Old Style" w:eastAsiaTheme="minorEastAsia" w:hAnsi="Bookman Old Style"/>
          <w:b/>
        </w:rPr>
        <w:t>comma 901</w:t>
      </w:r>
      <w:r>
        <w:rPr>
          <w:rFonts w:ascii="Bookman Old Style" w:eastAsiaTheme="minorEastAsia" w:hAnsi="Bookman Old Style"/>
        </w:rPr>
        <w:t xml:space="preserve"> </w:t>
      </w:r>
      <w:r w:rsidRPr="004B5F00">
        <w:rPr>
          <w:rFonts w:ascii="Bookman Old Style" w:eastAsiaTheme="minorEastAsia" w:hAnsi="Bookman Old Style"/>
        </w:rPr>
        <w:t>semplifica le modalità di riconoscimento delle spese per lavori pubblici urgenti, cagionati da eventi eccezionali e imprevedibili</w:t>
      </w:r>
      <w:r>
        <w:rPr>
          <w:rFonts w:ascii="Bookman Old Style" w:eastAsiaTheme="minorEastAsia" w:hAnsi="Bookman Old Style"/>
        </w:rPr>
        <w:t xml:space="preserve">, prevedendo </w:t>
      </w:r>
      <w:r w:rsidRPr="004B5F00">
        <w:rPr>
          <w:rFonts w:ascii="Bookman Old Style" w:eastAsiaTheme="minorEastAsia" w:hAnsi="Bookman Old Style"/>
        </w:rPr>
        <w:t>che la Giunta possa sottoporre alla deliberazione consiliare il riconoscimento della legittimità dei debiti fuori bilancio derivanti da tali spese anche nell’ipotesi in cui non ricorra la circostanza della dimostrata insufficienza dei fondi specificamente previsti in bilancio per tali finalità.</w:t>
      </w:r>
    </w:p>
    <w:p w:rsidR="00E82A65" w:rsidRDefault="00E82A65" w:rsidP="00350856">
      <w:pPr>
        <w:ind w:firstLine="0"/>
      </w:pPr>
    </w:p>
    <w:p w:rsidR="00E82A65" w:rsidRDefault="00E82A65" w:rsidP="00350856">
      <w:pPr>
        <w:ind w:firstLine="0"/>
      </w:pPr>
    </w:p>
    <w:p w:rsidR="00441B59" w:rsidRPr="00036521" w:rsidRDefault="00441B59" w:rsidP="00441B59">
      <w:pPr>
        <w:pStyle w:val="Titolo2"/>
        <w:ind w:firstLine="0"/>
        <w:rPr>
          <w:rFonts w:ascii="Bookman Old Style" w:hAnsi="Bookman Old Style"/>
          <w:b/>
          <w:sz w:val="22"/>
          <w:szCs w:val="22"/>
        </w:rPr>
      </w:pPr>
      <w:bookmarkStart w:id="118" w:name="_Toc533838756"/>
      <w:bookmarkStart w:id="119" w:name="_Toc533979347"/>
      <w:bookmarkStart w:id="120" w:name="_Toc534028004"/>
      <w:r w:rsidRPr="00036521">
        <w:rPr>
          <w:rFonts w:ascii="Bookman Old Style" w:hAnsi="Bookman Old Style"/>
          <w:b/>
          <w:sz w:val="22"/>
          <w:szCs w:val="22"/>
        </w:rPr>
        <w:t>Fondo aree di confine</w:t>
      </w:r>
      <w:bookmarkEnd w:id="118"/>
      <w:bookmarkEnd w:id="119"/>
      <w:bookmarkEnd w:id="120"/>
      <w:r w:rsidRPr="00036521">
        <w:rPr>
          <w:rFonts w:ascii="Bookman Old Style" w:hAnsi="Bookman Old Style"/>
          <w:b/>
          <w:sz w:val="22"/>
          <w:szCs w:val="22"/>
        </w:rPr>
        <w:t xml:space="preserve"> </w:t>
      </w:r>
    </w:p>
    <w:p w:rsidR="003F7C63" w:rsidRDefault="00441B59" w:rsidP="00E82A65">
      <w:pPr>
        <w:ind w:firstLine="0"/>
        <w:rPr>
          <w:rFonts w:ascii="Bookman Old Style" w:hAnsi="Bookman Old Style"/>
        </w:rPr>
      </w:pPr>
      <w:r>
        <w:rPr>
          <w:rFonts w:ascii="Bookman Old Style" w:hAnsi="Bookman Old Style"/>
          <w:b/>
        </w:rPr>
        <w:t>Il c</w:t>
      </w:r>
      <w:r w:rsidRPr="00180E55">
        <w:rPr>
          <w:rFonts w:ascii="Bookman Old Style" w:hAnsi="Bookman Old Style"/>
          <w:b/>
        </w:rPr>
        <w:t>omma 969</w:t>
      </w:r>
      <w:r w:rsidRPr="00714A95">
        <w:rPr>
          <w:rFonts w:ascii="Bookman Old Style" w:hAnsi="Bookman Old Style"/>
        </w:rPr>
        <w:t xml:space="preserve"> aumenta lo stanziamento del Fondo per la valorizzazione e la promozione delle aree territoriali svantaggiate confinanti con le</w:t>
      </w:r>
      <w:r>
        <w:rPr>
          <w:rFonts w:ascii="Bookman Old Style" w:hAnsi="Bookman Old Style"/>
        </w:rPr>
        <w:t xml:space="preserve"> </w:t>
      </w:r>
      <w:r w:rsidRPr="00714A95">
        <w:rPr>
          <w:rFonts w:ascii="Bookman Old Style" w:hAnsi="Bookman Old Style"/>
        </w:rPr>
        <w:t>regioni a statuto speciale e le province autonome di Trento e di Bolzano per il triennio 2019-2021</w:t>
      </w:r>
      <w:r>
        <w:rPr>
          <w:rFonts w:ascii="Bookman Old Style" w:hAnsi="Bookman Old Style"/>
        </w:rPr>
        <w:t xml:space="preserve">: di 10 mln. per il 2019, di 6 mln. per il 2020 e di 20 mln. per il 2021 (annualità finora non finanziata). Sono inoltre rimosse le limitazioni all’assegnazione dei fondi che ne impedivano l’accesso in caso di fruizione dei benefici </w:t>
      </w:r>
      <w:r w:rsidRPr="00441B59">
        <w:rPr>
          <w:rFonts w:ascii="Bookman Old Style" w:hAnsi="Bookman Old Style"/>
          <w:i/>
        </w:rPr>
        <w:t>ex</w:t>
      </w:r>
      <w:r>
        <w:rPr>
          <w:rFonts w:ascii="Bookman Old Style" w:hAnsi="Bookman Old Style"/>
        </w:rPr>
        <w:t xml:space="preserve"> l. n. 191 del 2009</w:t>
      </w:r>
      <w:r w:rsidRPr="00714A95">
        <w:rPr>
          <w:rFonts w:ascii="Bookman Old Style" w:hAnsi="Bookman Old Style"/>
        </w:rPr>
        <w:t xml:space="preserve">. </w:t>
      </w:r>
    </w:p>
    <w:p w:rsidR="00E82A65" w:rsidRPr="00E82A65" w:rsidRDefault="00E82A65" w:rsidP="00E82A65">
      <w:pPr>
        <w:ind w:firstLine="0"/>
        <w:rPr>
          <w:rFonts w:ascii="Bookman Old Style" w:hAnsi="Bookman Old Style"/>
        </w:rPr>
      </w:pPr>
    </w:p>
    <w:p w:rsidR="001B56B7" w:rsidRDefault="001B56B7" w:rsidP="001B56B7">
      <w:pPr>
        <w:pStyle w:val="Titolo2"/>
        <w:ind w:firstLine="0"/>
        <w:rPr>
          <w:rFonts w:ascii="Bookman Old Style" w:hAnsi="Bookman Old Style"/>
          <w:b/>
          <w:sz w:val="22"/>
          <w:szCs w:val="22"/>
        </w:rPr>
      </w:pPr>
      <w:bookmarkStart w:id="121" w:name="_Toc533979348"/>
      <w:bookmarkStart w:id="122" w:name="_Toc534028005"/>
      <w:r>
        <w:rPr>
          <w:rFonts w:ascii="Bookman Old Style" w:hAnsi="Bookman Old Style"/>
          <w:b/>
          <w:sz w:val="22"/>
          <w:szCs w:val="22"/>
        </w:rPr>
        <w:t>Norme riguardanti singoli enti locali</w:t>
      </w:r>
      <w:bookmarkEnd w:id="121"/>
      <w:bookmarkEnd w:id="122"/>
    </w:p>
    <w:p w:rsidR="00B23D7D" w:rsidRDefault="00FC0650" w:rsidP="00B23D7D">
      <w:pPr>
        <w:spacing w:after="80"/>
        <w:ind w:firstLine="0"/>
        <w:rPr>
          <w:rFonts w:ascii="Bookman Old Style" w:hAnsi="Bookman Old Style" w:cs="Arial"/>
          <w:bCs/>
          <w:color w:val="333333"/>
          <w:szCs w:val="22"/>
          <w:shd w:val="clear" w:color="auto" w:fill="FFFFFF"/>
        </w:rPr>
      </w:pPr>
      <w:r w:rsidRPr="00B23D7D">
        <w:rPr>
          <w:rFonts w:ascii="Bookman Old Style" w:hAnsi="Bookman Old Style" w:cs="Arial"/>
          <w:bCs/>
          <w:color w:val="333333"/>
          <w:szCs w:val="22"/>
          <w:shd w:val="clear" w:color="auto" w:fill="FFFFFF"/>
        </w:rPr>
        <w:t xml:space="preserve">Il </w:t>
      </w:r>
      <w:r w:rsidRPr="00B23D7D">
        <w:rPr>
          <w:rFonts w:ascii="Bookman Old Style" w:hAnsi="Bookman Old Style" w:cs="Arial"/>
          <w:b/>
          <w:bCs/>
          <w:color w:val="333333"/>
          <w:szCs w:val="22"/>
          <w:shd w:val="clear" w:color="auto" w:fill="FFFFFF"/>
        </w:rPr>
        <w:t>comma 96</w:t>
      </w:r>
      <w:r w:rsidR="00FA1CB0" w:rsidRPr="00B23D7D">
        <w:rPr>
          <w:rFonts w:ascii="Bookman Old Style" w:hAnsi="Bookman Old Style" w:cs="Arial"/>
          <w:bCs/>
          <w:color w:val="333333"/>
          <w:szCs w:val="22"/>
          <w:shd w:val="clear" w:color="auto" w:fill="FFFFFF"/>
        </w:rPr>
        <w:t>,</w:t>
      </w:r>
      <w:r w:rsidRPr="00B23D7D">
        <w:rPr>
          <w:rFonts w:ascii="Bookman Old Style" w:hAnsi="Bookman Old Style" w:cs="Arial"/>
          <w:bCs/>
          <w:color w:val="333333"/>
          <w:szCs w:val="22"/>
          <w:shd w:val="clear" w:color="auto" w:fill="FFFFFF"/>
        </w:rPr>
        <w:t xml:space="preserve"> </w:t>
      </w:r>
      <w:r w:rsidR="00FA1CB0" w:rsidRPr="00B23D7D">
        <w:rPr>
          <w:rFonts w:ascii="Bookman Old Style" w:hAnsi="Bookman Old Style" w:cs="Arial"/>
          <w:bCs/>
          <w:color w:val="333333"/>
          <w:szCs w:val="22"/>
          <w:shd w:val="clear" w:color="auto" w:fill="FFFFFF"/>
        </w:rPr>
        <w:t xml:space="preserve">con riferimento al </w:t>
      </w:r>
      <w:r w:rsidRPr="00B23D7D">
        <w:rPr>
          <w:rFonts w:ascii="Bookman Old Style" w:hAnsi="Bookman Old Style" w:cs="Arial"/>
          <w:bCs/>
          <w:color w:val="333333"/>
          <w:szCs w:val="22"/>
          <w:shd w:val="clear" w:color="auto" w:fill="FFFFFF"/>
        </w:rPr>
        <w:t>fondo per gli investimenti delle amministrazioni centrali</w:t>
      </w:r>
      <w:r w:rsidR="00FA1CB0" w:rsidRPr="00B23D7D">
        <w:rPr>
          <w:rFonts w:ascii="Bookman Old Style" w:hAnsi="Bookman Old Style" w:cs="Arial"/>
          <w:bCs/>
          <w:color w:val="333333"/>
          <w:szCs w:val="22"/>
          <w:shd w:val="clear" w:color="auto" w:fill="FFFFFF"/>
        </w:rPr>
        <w:t xml:space="preserve"> istituito al comma 95</w:t>
      </w:r>
      <w:r w:rsidRPr="00B23D7D">
        <w:rPr>
          <w:rFonts w:ascii="Bookman Old Style" w:hAnsi="Bookman Old Style" w:cs="Arial"/>
          <w:bCs/>
          <w:color w:val="333333"/>
          <w:szCs w:val="22"/>
          <w:shd w:val="clear" w:color="auto" w:fill="FFFFFF"/>
        </w:rPr>
        <w:t>, destin</w:t>
      </w:r>
      <w:r w:rsidR="00FA1CB0" w:rsidRPr="00B23D7D">
        <w:rPr>
          <w:rFonts w:ascii="Bookman Old Style" w:hAnsi="Bookman Old Style" w:cs="Arial"/>
          <w:bCs/>
          <w:color w:val="333333"/>
          <w:szCs w:val="22"/>
          <w:shd w:val="clear" w:color="auto" w:fill="FFFFFF"/>
        </w:rPr>
        <w:t xml:space="preserve">a </w:t>
      </w:r>
      <w:r w:rsidR="00B23D7D" w:rsidRPr="00B23D7D">
        <w:rPr>
          <w:rFonts w:ascii="Bookman Old Style" w:hAnsi="Bookman Old Style" w:cs="Arial"/>
          <w:bCs/>
          <w:color w:val="333333"/>
          <w:szCs w:val="22"/>
          <w:shd w:val="clear" w:color="auto" w:fill="FFFFFF"/>
        </w:rPr>
        <w:t xml:space="preserve">al </w:t>
      </w:r>
      <w:r w:rsidR="00B23D7D" w:rsidRPr="00B23D7D">
        <w:rPr>
          <w:rFonts w:ascii="Bookman Old Style" w:hAnsi="Bookman Old Style" w:cs="Arial"/>
          <w:b/>
          <w:bCs/>
          <w:color w:val="333333"/>
          <w:szCs w:val="22"/>
          <w:shd w:val="clear" w:color="auto" w:fill="FFFFFF"/>
        </w:rPr>
        <w:t>prolungamento della metropolitana di Milano M5</w:t>
      </w:r>
      <w:r w:rsidR="00B23D7D" w:rsidRPr="00B23D7D">
        <w:rPr>
          <w:rFonts w:ascii="Bookman Old Style" w:hAnsi="Bookman Old Style" w:cs="Arial"/>
          <w:bCs/>
          <w:color w:val="333333"/>
          <w:szCs w:val="22"/>
          <w:shd w:val="clear" w:color="auto" w:fill="FFFFFF"/>
        </w:rPr>
        <w:t xml:space="preserve"> fino a Monza “</w:t>
      </w:r>
      <w:r w:rsidR="00B23D7D" w:rsidRPr="00B23D7D">
        <w:rPr>
          <w:rFonts w:ascii="Bookman Old Style" w:hAnsi="Bookman Old Style" w:cs="Arial"/>
          <w:bCs/>
          <w:i/>
          <w:color w:val="333333"/>
          <w:szCs w:val="22"/>
          <w:shd w:val="clear" w:color="auto" w:fill="FFFFFF"/>
        </w:rPr>
        <w:t>almeno</w:t>
      </w:r>
      <w:r w:rsidR="00B23D7D" w:rsidRPr="00B23D7D">
        <w:rPr>
          <w:rFonts w:ascii="Bookman Old Style" w:hAnsi="Bookman Old Style" w:cs="Arial"/>
          <w:bCs/>
          <w:color w:val="333333"/>
          <w:szCs w:val="22"/>
          <w:shd w:val="clear" w:color="auto" w:fill="FFFFFF"/>
        </w:rPr>
        <w:t>” 15 milioni di euro per il 2019, 10 mln. per il 2020, 25 mln. per il 2021, e ulteriori 850 mln. di euro tra il 2022 e il 2027.</w:t>
      </w:r>
    </w:p>
    <w:p w:rsidR="00B23D7D" w:rsidRDefault="00B23D7D" w:rsidP="00B23D7D">
      <w:pPr>
        <w:spacing w:after="80"/>
        <w:ind w:firstLine="0"/>
      </w:pPr>
      <w:r>
        <w:rPr>
          <w:rFonts w:ascii="Bookman Old Style" w:hAnsi="Bookman Old Style"/>
        </w:rPr>
        <w:t>Il</w:t>
      </w:r>
      <w:r w:rsidRPr="00EE032A">
        <w:rPr>
          <w:rFonts w:ascii="Bookman Old Style" w:hAnsi="Bookman Old Style"/>
        </w:rPr>
        <w:t xml:space="preserve"> </w:t>
      </w:r>
      <w:r>
        <w:rPr>
          <w:rFonts w:ascii="Bookman Old Style" w:hAnsi="Bookman Old Style"/>
          <w:b/>
        </w:rPr>
        <w:t>comma 612</w:t>
      </w:r>
      <w:r>
        <w:rPr>
          <w:rFonts w:ascii="Bookman Old Style" w:hAnsi="Bookman Old Style"/>
        </w:rPr>
        <w:t xml:space="preserve"> </w:t>
      </w:r>
      <w:r w:rsidRPr="00EE032A">
        <w:rPr>
          <w:rFonts w:ascii="Bookman Old Style" w:hAnsi="Bookman Old Style"/>
        </w:rPr>
        <w:t xml:space="preserve">autorizza la spesa di </w:t>
      </w:r>
      <w:r>
        <w:rPr>
          <w:rFonts w:ascii="Bookman Old Style" w:hAnsi="Bookman Old Style"/>
        </w:rPr>
        <w:t xml:space="preserve">2 milioni di euro </w:t>
      </w:r>
      <w:r w:rsidRPr="00EE032A">
        <w:rPr>
          <w:rFonts w:ascii="Bookman Old Style" w:hAnsi="Bookman Old Style"/>
        </w:rPr>
        <w:t xml:space="preserve">per il 2019, </w:t>
      </w:r>
      <w:r>
        <w:rPr>
          <w:rFonts w:ascii="Bookman Old Style" w:hAnsi="Bookman Old Style"/>
        </w:rPr>
        <w:t xml:space="preserve">per la realizzazione di iniziative culturali e di spettacolo a </w:t>
      </w:r>
      <w:r>
        <w:rPr>
          <w:rFonts w:ascii="Bookman Old Style" w:hAnsi="Bookman Old Style"/>
          <w:b/>
        </w:rPr>
        <w:t>Matera</w:t>
      </w:r>
      <w:r w:rsidRPr="00EE032A">
        <w:rPr>
          <w:rFonts w:ascii="Bookman Old Style" w:hAnsi="Bookman Old Style"/>
        </w:rPr>
        <w:t xml:space="preserve">, capitale italiana della Cultura </w:t>
      </w:r>
      <w:r>
        <w:rPr>
          <w:rFonts w:ascii="Bookman Old Style" w:hAnsi="Bookman Old Style"/>
        </w:rPr>
        <w:t>per il 2019</w:t>
      </w:r>
      <w:r w:rsidRPr="006530AD">
        <w:t>.</w:t>
      </w:r>
    </w:p>
    <w:p w:rsidR="00D028F2" w:rsidRDefault="00D028F2" w:rsidP="00B23D7D">
      <w:pPr>
        <w:spacing w:after="80"/>
        <w:ind w:firstLine="0"/>
      </w:pPr>
      <w:r>
        <w:rPr>
          <w:rFonts w:ascii="Bookman Old Style" w:hAnsi="Bookman Old Style"/>
        </w:rPr>
        <w:t>Il</w:t>
      </w:r>
      <w:r w:rsidRPr="00EE032A">
        <w:rPr>
          <w:rFonts w:ascii="Bookman Old Style" w:hAnsi="Bookman Old Style"/>
        </w:rPr>
        <w:t xml:space="preserve"> </w:t>
      </w:r>
      <w:r w:rsidRPr="00180E55">
        <w:rPr>
          <w:rFonts w:ascii="Bookman Old Style" w:hAnsi="Bookman Old Style"/>
          <w:b/>
        </w:rPr>
        <w:t>comma 613</w:t>
      </w:r>
      <w:r>
        <w:rPr>
          <w:rFonts w:ascii="Bookman Old Style" w:hAnsi="Bookman Old Style"/>
        </w:rPr>
        <w:t xml:space="preserve"> </w:t>
      </w:r>
      <w:r w:rsidRPr="00EE032A">
        <w:rPr>
          <w:rFonts w:ascii="Bookman Old Style" w:hAnsi="Bookman Old Style"/>
        </w:rPr>
        <w:t xml:space="preserve">autorizza la spesa di </w:t>
      </w:r>
      <w:r>
        <w:rPr>
          <w:rFonts w:ascii="Bookman Old Style" w:hAnsi="Bookman Old Style"/>
        </w:rPr>
        <w:t xml:space="preserve">3 milioni di euro </w:t>
      </w:r>
      <w:r w:rsidRPr="00EE032A">
        <w:rPr>
          <w:rFonts w:ascii="Bookman Old Style" w:hAnsi="Bookman Old Style"/>
        </w:rPr>
        <w:t xml:space="preserve">per il 2019, al fine di sostenere iniziative per la valorizzazione del patrimonio culturale della </w:t>
      </w:r>
      <w:r w:rsidRPr="00BE11EB">
        <w:rPr>
          <w:rFonts w:ascii="Bookman Old Style" w:hAnsi="Bookman Old Style"/>
          <w:b/>
        </w:rPr>
        <w:t>città di Parma</w:t>
      </w:r>
      <w:r w:rsidRPr="00EE032A">
        <w:rPr>
          <w:rFonts w:ascii="Bookman Old Style" w:hAnsi="Bookman Old Style"/>
        </w:rPr>
        <w:t>, designata capitale italiana della Cultura 2020</w:t>
      </w:r>
      <w:r w:rsidRPr="006530AD">
        <w:t>.</w:t>
      </w:r>
    </w:p>
    <w:p w:rsidR="00BE11EB" w:rsidRPr="00714A95" w:rsidRDefault="00BE11EB" w:rsidP="00B23D7D">
      <w:pPr>
        <w:spacing w:after="80"/>
        <w:ind w:firstLine="0"/>
        <w:rPr>
          <w:rFonts w:ascii="Bookman Old Style" w:hAnsi="Bookman Old Style"/>
        </w:rPr>
      </w:pPr>
      <w:r>
        <w:rPr>
          <w:rFonts w:ascii="Bookman Old Style" w:hAnsi="Bookman Old Style"/>
        </w:rPr>
        <w:t>I</w:t>
      </w:r>
      <w:r w:rsidRPr="00714A95">
        <w:rPr>
          <w:rFonts w:ascii="Bookman Old Style" w:hAnsi="Bookman Old Style"/>
        </w:rPr>
        <w:t xml:space="preserve">l </w:t>
      </w:r>
      <w:r w:rsidRPr="00AF4B24">
        <w:rPr>
          <w:rFonts w:ascii="Bookman Old Style" w:hAnsi="Bookman Old Style"/>
          <w:b/>
        </w:rPr>
        <w:t>comma 765</w:t>
      </w:r>
      <w:r w:rsidRPr="00714A95">
        <w:rPr>
          <w:rFonts w:ascii="Bookman Old Style" w:hAnsi="Bookman Old Style"/>
        </w:rPr>
        <w:t xml:space="preserve"> prevede l'erogazione di una somma complessiva di 35 milioni di euro a favore del </w:t>
      </w:r>
      <w:r w:rsidRPr="00BE11EB">
        <w:rPr>
          <w:rFonts w:ascii="Bookman Old Style" w:hAnsi="Bookman Old Style"/>
          <w:b/>
        </w:rPr>
        <w:t>Comune di Torino</w:t>
      </w:r>
      <w:r>
        <w:rPr>
          <w:rFonts w:ascii="Bookman Old Style" w:hAnsi="Bookman Old Style"/>
        </w:rPr>
        <w:t xml:space="preserve"> (</w:t>
      </w:r>
      <w:r w:rsidRPr="00714A95">
        <w:rPr>
          <w:rFonts w:ascii="Bookman Old Style" w:hAnsi="Bookman Old Style"/>
        </w:rPr>
        <w:t>7 milioni annui, per ciascuno degli anni dal 2019 al 2023</w:t>
      </w:r>
      <w:r>
        <w:rPr>
          <w:rFonts w:ascii="Bookman Old Style" w:hAnsi="Bookman Old Style"/>
        </w:rPr>
        <w:t>)</w:t>
      </w:r>
      <w:r w:rsidRPr="00714A95">
        <w:rPr>
          <w:rFonts w:ascii="Bookman Old Style" w:hAnsi="Bookman Old Style"/>
        </w:rPr>
        <w:t xml:space="preserve">, all'attuazione della sentenza del TAR del Lazio n. 4878 del 18 maggio 2014 e della sentenza del Consiglio di Stato n. 5013 del 3 novembre 2015. </w:t>
      </w:r>
      <w:r>
        <w:rPr>
          <w:rFonts w:ascii="Bookman Old Style" w:hAnsi="Bookman Old Style"/>
        </w:rPr>
        <w:t>Si tratta di un pronunciamento circa le modalità di quantificazione della compensazione connessa con il passaggio dall’ICI all’IMU e in particolare sulla quantificazione dell’ICI</w:t>
      </w:r>
      <w:r w:rsidR="00B23D7D">
        <w:rPr>
          <w:rFonts w:ascii="Bookman Old Style" w:hAnsi="Bookman Old Style"/>
        </w:rPr>
        <w:t>.</w:t>
      </w:r>
      <w:r>
        <w:rPr>
          <w:rFonts w:ascii="Bookman Old Style" w:hAnsi="Bookman Old Style"/>
        </w:rPr>
        <w:t xml:space="preserve"> </w:t>
      </w:r>
      <w:r w:rsidRPr="00714A95">
        <w:rPr>
          <w:rFonts w:ascii="Bookman Old Style" w:hAnsi="Bookman Old Style"/>
        </w:rPr>
        <w:t xml:space="preserve">Il comma dispone inoltre che le risorse sono erogate dal Ministero dell'Interno subordinatamente alla rinuncia a ogni ricorso pendente da parte del Comune di Torino nei confronti dello Stato.  La relazione tecnica chiarisce che la norma è resa necessaria dal fatto che, all'esito della verifica contabile effettuata, non è stato possibile raggiungere un accordo sul piano meramente tecnico. </w:t>
      </w:r>
      <w:r>
        <w:rPr>
          <w:rFonts w:ascii="Bookman Old Style" w:hAnsi="Bookman Old Style"/>
        </w:rPr>
        <w:t xml:space="preserve">Il fondo di cui al comma 764 concorre alla </w:t>
      </w:r>
      <w:r w:rsidRPr="00714A95">
        <w:rPr>
          <w:rFonts w:ascii="Bookman Old Style" w:hAnsi="Bookman Old Style"/>
        </w:rPr>
        <w:t>copertura dell'onere per il triennio</w:t>
      </w:r>
      <w:r>
        <w:rPr>
          <w:rFonts w:ascii="Bookman Old Style" w:hAnsi="Bookman Old Style"/>
        </w:rPr>
        <w:t xml:space="preserve"> 2019-21</w:t>
      </w:r>
      <w:r w:rsidRPr="00714A95">
        <w:rPr>
          <w:rFonts w:ascii="Bookman Old Style" w:hAnsi="Bookman Old Style"/>
        </w:rPr>
        <w:t xml:space="preserve">, </w:t>
      </w:r>
      <w:r>
        <w:rPr>
          <w:rFonts w:ascii="Bookman Old Style" w:hAnsi="Bookman Old Style"/>
        </w:rPr>
        <w:t>mentr</w:t>
      </w:r>
      <w:r w:rsidRPr="00714A95">
        <w:rPr>
          <w:rFonts w:ascii="Bookman Old Style" w:hAnsi="Bookman Old Style"/>
        </w:rPr>
        <w:t xml:space="preserve">e per gli anni successi </w:t>
      </w:r>
      <w:r>
        <w:rPr>
          <w:rFonts w:ascii="Bookman Old Style" w:hAnsi="Bookman Old Style"/>
        </w:rPr>
        <w:t xml:space="preserve">la norma ricorre alla </w:t>
      </w:r>
      <w:r w:rsidRPr="00714A95">
        <w:rPr>
          <w:rFonts w:ascii="Bookman Old Style" w:hAnsi="Bookman Old Style"/>
        </w:rPr>
        <w:t xml:space="preserve">riduzione del fondo </w:t>
      </w:r>
      <w:r>
        <w:rPr>
          <w:rFonts w:ascii="Bookman Old Style" w:hAnsi="Bookman Old Style"/>
        </w:rPr>
        <w:t xml:space="preserve">“esigenze indifferibili” </w:t>
      </w:r>
      <w:r w:rsidRPr="00714A95">
        <w:rPr>
          <w:rFonts w:ascii="Bookman Old Style" w:hAnsi="Bookman Old Style"/>
        </w:rPr>
        <w:t xml:space="preserve">di cui </w:t>
      </w:r>
      <w:r>
        <w:rPr>
          <w:rFonts w:ascii="Bookman Old Style" w:hAnsi="Bookman Old Style"/>
        </w:rPr>
        <w:t xml:space="preserve">al </w:t>
      </w:r>
      <w:r w:rsidRPr="00714A95">
        <w:rPr>
          <w:rFonts w:ascii="Bookman Old Style" w:hAnsi="Bookman Old Style"/>
        </w:rPr>
        <w:t xml:space="preserve">comma 1116.  </w:t>
      </w:r>
    </w:p>
    <w:p w:rsidR="004D0B41" w:rsidRPr="001A0919" w:rsidRDefault="00D028F2" w:rsidP="00B23D7D">
      <w:pPr>
        <w:spacing w:after="80"/>
        <w:ind w:firstLine="0"/>
        <w:rPr>
          <w:rFonts w:ascii="Bookman Old Style" w:hAnsi="Bookman Old Style"/>
        </w:rPr>
      </w:pPr>
      <w:r w:rsidRPr="001A0919">
        <w:rPr>
          <w:rFonts w:ascii="Bookman Old Style" w:hAnsi="Bookman Old Style"/>
        </w:rPr>
        <w:t xml:space="preserve">I commi </w:t>
      </w:r>
      <w:r w:rsidRPr="001A0919">
        <w:rPr>
          <w:rFonts w:ascii="Bookman Old Style" w:hAnsi="Bookman Old Style"/>
          <w:b/>
        </w:rPr>
        <w:t xml:space="preserve">da </w:t>
      </w:r>
      <w:r w:rsidR="001A0919" w:rsidRPr="001A0919">
        <w:rPr>
          <w:rFonts w:ascii="Bookman Old Style" w:hAnsi="Bookman Old Style"/>
          <w:b/>
        </w:rPr>
        <w:t>922</w:t>
      </w:r>
      <w:r w:rsidRPr="001A0919">
        <w:rPr>
          <w:rFonts w:ascii="Bookman Old Style" w:hAnsi="Bookman Old Style"/>
          <w:b/>
        </w:rPr>
        <w:t xml:space="preserve"> a </w:t>
      </w:r>
      <w:r w:rsidR="001A0919" w:rsidRPr="001A0919">
        <w:rPr>
          <w:rFonts w:ascii="Bookman Old Style" w:hAnsi="Bookman Old Style"/>
          <w:b/>
        </w:rPr>
        <w:t>930 e 932</w:t>
      </w:r>
      <w:r w:rsidR="001A0919" w:rsidRPr="001A0919">
        <w:rPr>
          <w:rFonts w:ascii="Bookman Old Style" w:hAnsi="Bookman Old Style"/>
        </w:rPr>
        <w:t xml:space="preserve"> </w:t>
      </w:r>
      <w:r w:rsidRPr="001A0919">
        <w:rPr>
          <w:rFonts w:ascii="Bookman Old Style" w:hAnsi="Bookman Old Style"/>
        </w:rPr>
        <w:t xml:space="preserve">regolano </w:t>
      </w:r>
      <w:r w:rsidR="001A0919" w:rsidRPr="001A0919">
        <w:rPr>
          <w:rFonts w:ascii="Bookman Old Style" w:hAnsi="Bookman Old Style"/>
        </w:rPr>
        <w:t xml:space="preserve">le operazioni finalizzate alla definitiva ricognizione della massa passiva da parte </w:t>
      </w:r>
      <w:r w:rsidRPr="001A0919">
        <w:rPr>
          <w:rFonts w:ascii="Bookman Old Style" w:hAnsi="Bookman Old Style"/>
        </w:rPr>
        <w:t xml:space="preserve">del </w:t>
      </w:r>
      <w:r w:rsidR="001A0919" w:rsidRPr="001A0919">
        <w:rPr>
          <w:rFonts w:ascii="Bookman Old Style" w:hAnsi="Bookman Old Style"/>
        </w:rPr>
        <w:t xml:space="preserve">Commissario di governo </w:t>
      </w:r>
      <w:r w:rsidRPr="001A0919">
        <w:rPr>
          <w:rFonts w:ascii="Bookman Old Style" w:hAnsi="Bookman Old Style"/>
        </w:rPr>
        <w:t>per</w:t>
      </w:r>
      <w:r w:rsidR="001A0919" w:rsidRPr="001A0919">
        <w:rPr>
          <w:rFonts w:ascii="Bookman Old Style" w:hAnsi="Bookman Old Style"/>
        </w:rPr>
        <w:t xml:space="preserve"> la gestione del debito pregresso del Comune di Roma.</w:t>
      </w:r>
    </w:p>
    <w:p w:rsidR="001A0919" w:rsidRPr="001A0919" w:rsidRDefault="001A0919" w:rsidP="00B23D7D">
      <w:pPr>
        <w:spacing w:after="80"/>
        <w:ind w:firstLine="0"/>
        <w:rPr>
          <w:rFonts w:ascii="Bookman Old Style" w:hAnsi="Bookman Old Style"/>
        </w:rPr>
      </w:pPr>
      <w:r w:rsidRPr="001A0919">
        <w:rPr>
          <w:rFonts w:ascii="Bookman Old Style" w:hAnsi="Bookman Old Style"/>
        </w:rPr>
        <w:t xml:space="preserve">Il </w:t>
      </w:r>
      <w:r w:rsidRPr="001A0919">
        <w:rPr>
          <w:rFonts w:ascii="Bookman Old Style" w:hAnsi="Bookman Old Style"/>
          <w:b/>
        </w:rPr>
        <w:t>comma 931</w:t>
      </w:r>
      <w:r w:rsidRPr="001A0919">
        <w:rPr>
          <w:rFonts w:ascii="Bookman Old Style" w:hAnsi="Bookman Old Style"/>
        </w:rPr>
        <w:t xml:space="preserve"> dispone l’impiego di fondi per il completamento e la manutenzione straordinaria delle linee della </w:t>
      </w:r>
      <w:r w:rsidRPr="001A0919">
        <w:rPr>
          <w:rFonts w:ascii="Bookman Old Style" w:hAnsi="Bookman Old Style"/>
          <w:b/>
        </w:rPr>
        <w:t>metropolitana di Roma Capitale</w:t>
      </w:r>
      <w:r>
        <w:rPr>
          <w:rFonts w:ascii="Bookman Old Style" w:hAnsi="Bookman Old Style"/>
          <w:b/>
        </w:rPr>
        <w:t xml:space="preserve"> </w:t>
      </w:r>
      <w:r>
        <w:rPr>
          <w:rFonts w:ascii="Bookman Old Style" w:hAnsi="Bookman Old Style"/>
        </w:rPr>
        <w:t>(55 mln. di euro per il 2019; 65 mln. per il 2020; 25 mln. per il 2021)</w:t>
      </w:r>
      <w:r w:rsidRPr="001A0919">
        <w:rPr>
          <w:rFonts w:ascii="Bookman Old Style" w:hAnsi="Bookman Old Style"/>
        </w:rPr>
        <w:t>.</w:t>
      </w:r>
      <w:r>
        <w:rPr>
          <w:rFonts w:ascii="Bookman Old Style" w:hAnsi="Bookman Old Style"/>
        </w:rPr>
        <w:t xml:space="preserve"> I </w:t>
      </w:r>
      <w:r w:rsidRPr="001A0919">
        <w:rPr>
          <w:rFonts w:ascii="Bookman Old Style" w:hAnsi="Bookman Old Style"/>
          <w:b/>
        </w:rPr>
        <w:t>commi 933</w:t>
      </w:r>
      <w:r w:rsidR="00FA1CB0">
        <w:rPr>
          <w:rFonts w:ascii="Bookman Old Style" w:hAnsi="Bookman Old Style"/>
          <w:b/>
        </w:rPr>
        <w:t xml:space="preserve">-935 </w:t>
      </w:r>
      <w:r w:rsidR="00FA1CB0" w:rsidRPr="00FA1CB0">
        <w:rPr>
          <w:rFonts w:ascii="Bookman Old Style" w:hAnsi="Bookman Old Style"/>
        </w:rPr>
        <w:t>intervengono a sostegno</w:t>
      </w:r>
      <w:r w:rsidR="00FA1CB0">
        <w:rPr>
          <w:rFonts w:ascii="Bookman Old Style" w:hAnsi="Bookman Old Style"/>
          <w:b/>
        </w:rPr>
        <w:t xml:space="preserve"> del ripristino della viabilità principale di Roma Capitale </w:t>
      </w:r>
      <w:r w:rsidR="00FA1CB0" w:rsidRPr="00FA1CB0">
        <w:rPr>
          <w:rFonts w:ascii="Bookman Old Style" w:hAnsi="Bookman Old Style"/>
        </w:rPr>
        <w:t>attraverso</w:t>
      </w:r>
      <w:r w:rsidR="00FA1CB0">
        <w:rPr>
          <w:rFonts w:ascii="Bookman Old Style" w:hAnsi="Bookman Old Style"/>
          <w:b/>
        </w:rPr>
        <w:t xml:space="preserve"> </w:t>
      </w:r>
      <w:r w:rsidR="00FA1CB0" w:rsidRPr="00FA1CB0">
        <w:rPr>
          <w:rFonts w:ascii="Bookman Old Style" w:hAnsi="Bookman Old Style"/>
        </w:rPr>
        <w:t xml:space="preserve">l’assegnazione di 40 mln. </w:t>
      </w:r>
      <w:r w:rsidR="00FA1CB0">
        <w:rPr>
          <w:rFonts w:ascii="Bookman Old Style" w:hAnsi="Bookman Old Style"/>
        </w:rPr>
        <w:t xml:space="preserve">di euro </w:t>
      </w:r>
      <w:r w:rsidR="00FA1CB0" w:rsidRPr="00FA1CB0">
        <w:rPr>
          <w:rFonts w:ascii="Bookman Old Style" w:hAnsi="Bookman Old Style"/>
        </w:rPr>
        <w:t>per il 2019 e 20 mln.</w:t>
      </w:r>
      <w:r w:rsidR="00FA1CB0">
        <w:rPr>
          <w:rFonts w:ascii="Bookman Old Style" w:hAnsi="Bookman Old Style"/>
        </w:rPr>
        <w:t xml:space="preserve"> per il 2020 (oltre che di 5 mln. annui per il triennio 2019-21 per l’acquisto di mezzi strumentali), che possono essere impiegati per finanziare il concorso del Ministero della Difesa, “</w:t>
      </w:r>
      <w:r w:rsidR="00FA1CB0" w:rsidRPr="00FA1CB0">
        <w:rPr>
          <w:rFonts w:ascii="Bookman Old Style" w:hAnsi="Bookman Old Style"/>
          <w:i/>
        </w:rPr>
        <w:t>nei casi emergenziali</w:t>
      </w:r>
      <w:r w:rsidR="00FA1CB0">
        <w:rPr>
          <w:rFonts w:ascii="Bookman Old Style" w:hAnsi="Bookman Old Style"/>
        </w:rPr>
        <w:t xml:space="preserve">”. </w:t>
      </w:r>
    </w:p>
    <w:bookmarkEnd w:id="89"/>
    <w:p w:rsidR="00826975" w:rsidRDefault="00826975" w:rsidP="00B23D7D">
      <w:pPr>
        <w:spacing w:after="80"/>
        <w:ind w:firstLine="0"/>
        <w:rPr>
          <w:rFonts w:ascii="Bookman Old Style" w:hAnsi="Bookman Old Style"/>
        </w:rPr>
      </w:pPr>
      <w:r w:rsidRPr="004D0B41">
        <w:rPr>
          <w:rFonts w:ascii="Bookman Old Style" w:hAnsi="Bookman Old Style"/>
        </w:rPr>
        <w:t>Il</w:t>
      </w:r>
      <w:r w:rsidRPr="001B56B7">
        <w:rPr>
          <w:rFonts w:ascii="Bookman Old Style" w:hAnsi="Bookman Old Style"/>
          <w:b/>
        </w:rPr>
        <w:t xml:space="preserve"> comma 1129 autorizza il Comune di Venezia</w:t>
      </w:r>
      <w:r w:rsidRPr="00714A95">
        <w:rPr>
          <w:rFonts w:ascii="Bookman Old Style" w:hAnsi="Bookman Old Style"/>
        </w:rPr>
        <w:t xml:space="preserve"> </w:t>
      </w:r>
      <w:r w:rsidRPr="004D0B41">
        <w:rPr>
          <w:rFonts w:ascii="Bookman Old Style" w:hAnsi="Bookman Old Style"/>
          <w:b/>
        </w:rPr>
        <w:t>ad adottare</w:t>
      </w:r>
      <w:r w:rsidRPr="00714A95">
        <w:rPr>
          <w:rFonts w:ascii="Bookman Old Style" w:hAnsi="Bookman Old Style"/>
        </w:rPr>
        <w:t xml:space="preserve">, </w:t>
      </w:r>
      <w:r w:rsidR="00B23D7D" w:rsidRPr="00B23D7D">
        <w:rPr>
          <w:rFonts w:ascii="Bookman Old Style" w:hAnsi="Bookman Old Style"/>
          <w:b/>
        </w:rPr>
        <w:t>un</w:t>
      </w:r>
      <w:r w:rsidR="00B23D7D">
        <w:rPr>
          <w:rFonts w:ascii="Bookman Old Style" w:hAnsi="Bookman Old Style"/>
        </w:rPr>
        <w:t xml:space="preserve"> </w:t>
      </w:r>
      <w:r w:rsidRPr="004D0B41">
        <w:rPr>
          <w:rFonts w:ascii="Bookman Old Style" w:hAnsi="Bookman Old Style"/>
          <w:b/>
        </w:rPr>
        <w:t>contributo di sbarco previsto per le isole minori</w:t>
      </w:r>
      <w:r w:rsidRPr="00714A95">
        <w:rPr>
          <w:rFonts w:ascii="Bookman Old Style" w:hAnsi="Bookman Old Style"/>
        </w:rPr>
        <w:t xml:space="preserve">. </w:t>
      </w:r>
      <w:r w:rsidR="00B23D7D">
        <w:rPr>
          <w:rFonts w:ascii="Bookman Old Style" w:hAnsi="Bookman Old Style"/>
        </w:rPr>
        <w:t>Il nuovo prelievo è distinto dall’imposta di soggiorno e sembra riservato ai turisti che non pernottano nel Comune di Venezia. L</w:t>
      </w:r>
      <w:r w:rsidRPr="00714A95">
        <w:rPr>
          <w:rFonts w:ascii="Bookman Old Style" w:hAnsi="Bookman Old Style"/>
        </w:rPr>
        <w:t xml:space="preserve">’importo massimo consentito per </w:t>
      </w:r>
      <w:r w:rsidR="00C6356C">
        <w:rPr>
          <w:rFonts w:ascii="Bookman Old Style" w:hAnsi="Bookman Old Style"/>
        </w:rPr>
        <w:t>il nuovo contributo e per l’imposta di soggiorno</w:t>
      </w:r>
      <w:r w:rsidRPr="00714A95">
        <w:rPr>
          <w:rFonts w:ascii="Bookman Old Style" w:hAnsi="Bookman Old Style"/>
        </w:rPr>
        <w:t xml:space="preserve"> è elevato a 10 euro</w:t>
      </w:r>
      <w:r w:rsidR="001B56B7">
        <w:rPr>
          <w:rFonts w:ascii="Bookman Old Style" w:hAnsi="Bookman Old Style"/>
        </w:rPr>
        <w:t>, misura massima del contributo di soggiorno riservata finora soltanto a Roma Capitale, richiamato espressamente dalla norma</w:t>
      </w:r>
      <w:r w:rsidRPr="00714A95">
        <w:rPr>
          <w:rFonts w:ascii="Bookman Old Style" w:hAnsi="Bookman Old Style"/>
        </w:rPr>
        <w:t xml:space="preserve">. </w:t>
      </w:r>
    </w:p>
    <w:p w:rsidR="001D63AD" w:rsidRDefault="001D63AD" w:rsidP="001B56B7">
      <w:pPr>
        <w:ind w:firstLine="0"/>
        <w:rPr>
          <w:rFonts w:ascii="Bookman Old Style" w:hAnsi="Bookman Old Style"/>
        </w:rPr>
      </w:pPr>
    </w:p>
    <w:p w:rsidR="00826975" w:rsidRDefault="00826975">
      <w:pPr>
        <w:spacing w:after="200" w:line="276" w:lineRule="auto"/>
        <w:ind w:firstLine="0"/>
        <w:jc w:val="left"/>
        <w:rPr>
          <w:lang w:eastAsia="en-US"/>
        </w:rPr>
      </w:pPr>
    </w:p>
    <w:p w:rsidR="00826975" w:rsidRPr="008C5976" w:rsidRDefault="0011415D" w:rsidP="008C5976">
      <w:pPr>
        <w:pStyle w:val="Titolo1"/>
        <w:rPr>
          <w:rFonts w:ascii="Bookman Old Style" w:hAnsi="Bookman Old Style"/>
          <w:b/>
          <w:sz w:val="24"/>
          <w:szCs w:val="24"/>
        </w:rPr>
      </w:pPr>
      <w:bookmarkStart w:id="123" w:name="_Toc533979349"/>
      <w:bookmarkStart w:id="124" w:name="_Toc534028006"/>
      <w:r w:rsidRPr="008C5976">
        <w:rPr>
          <w:rFonts w:ascii="Bookman Old Style" w:hAnsi="Bookman Old Style"/>
          <w:b/>
          <w:sz w:val="24"/>
          <w:szCs w:val="24"/>
        </w:rPr>
        <w:t>NORME RELATIVE A EVENTI SISMICI</w:t>
      </w:r>
      <w:bookmarkEnd w:id="123"/>
      <w:bookmarkEnd w:id="124"/>
    </w:p>
    <w:p w:rsidR="001B56B7" w:rsidRDefault="001B56B7" w:rsidP="0011415D">
      <w:pPr>
        <w:pStyle w:val="Titolo2"/>
        <w:ind w:firstLine="0"/>
        <w:rPr>
          <w:rFonts w:ascii="Bookman Old Style" w:hAnsi="Bookman Old Style"/>
          <w:b/>
          <w:sz w:val="22"/>
          <w:szCs w:val="22"/>
        </w:rPr>
      </w:pPr>
    </w:p>
    <w:p w:rsidR="0011415D" w:rsidRPr="0011415D" w:rsidRDefault="0011415D" w:rsidP="0011415D">
      <w:pPr>
        <w:pStyle w:val="Titolo2"/>
        <w:ind w:firstLine="0"/>
        <w:rPr>
          <w:rFonts w:ascii="Bookman Old Style" w:hAnsi="Bookman Old Style"/>
          <w:b/>
          <w:sz w:val="22"/>
          <w:szCs w:val="22"/>
        </w:rPr>
      </w:pPr>
      <w:bookmarkStart w:id="125" w:name="_Toc533979350"/>
      <w:bookmarkStart w:id="126" w:name="_Toc534028007"/>
      <w:r w:rsidRPr="0011415D">
        <w:rPr>
          <w:rFonts w:ascii="Bookman Old Style" w:hAnsi="Bookman Old Style"/>
          <w:b/>
          <w:sz w:val="22"/>
          <w:szCs w:val="22"/>
        </w:rPr>
        <w:t>Sisma Centro Italia 2016</w:t>
      </w:r>
      <w:bookmarkEnd w:id="125"/>
      <w:bookmarkEnd w:id="126"/>
    </w:p>
    <w:p w:rsidR="00826975" w:rsidRPr="00714A95" w:rsidRDefault="00826975" w:rsidP="00BE11EB">
      <w:pPr>
        <w:spacing w:after="80"/>
        <w:ind w:firstLine="0"/>
        <w:rPr>
          <w:rFonts w:ascii="Bookman Old Style" w:hAnsi="Bookman Old Style"/>
        </w:rPr>
      </w:pPr>
      <w:r w:rsidRPr="00714A95">
        <w:rPr>
          <w:rFonts w:ascii="Bookman Old Style" w:hAnsi="Bookman Old Style"/>
        </w:rPr>
        <w:t xml:space="preserve">Il </w:t>
      </w:r>
      <w:r w:rsidRPr="00180E55">
        <w:rPr>
          <w:rFonts w:ascii="Bookman Old Style" w:hAnsi="Bookman Old Style"/>
          <w:b/>
        </w:rPr>
        <w:t xml:space="preserve">comma 988 </w:t>
      </w:r>
      <w:r w:rsidRPr="00A31692">
        <w:rPr>
          <w:rFonts w:ascii="Bookman Old Style" w:hAnsi="Bookman Old Style"/>
          <w:b/>
        </w:rPr>
        <w:t xml:space="preserve">proroga, al 31 dicembre 2019, lo stato di emergenza per i territori colpiti </w:t>
      </w:r>
      <w:r w:rsidR="00A31692" w:rsidRPr="00A31692">
        <w:rPr>
          <w:rFonts w:ascii="Bookman Old Style" w:hAnsi="Bookman Old Style"/>
          <w:b/>
        </w:rPr>
        <w:t>dal si</w:t>
      </w:r>
      <w:r w:rsidR="00350856">
        <w:rPr>
          <w:rFonts w:ascii="Bookman Old Style" w:hAnsi="Bookman Old Style"/>
          <w:b/>
        </w:rPr>
        <w:t>s</w:t>
      </w:r>
      <w:r w:rsidR="00A31692" w:rsidRPr="00A31692">
        <w:rPr>
          <w:rFonts w:ascii="Bookman Old Style" w:hAnsi="Bookman Old Style"/>
          <w:b/>
        </w:rPr>
        <w:t>ma Centro Italia</w:t>
      </w:r>
      <w:r w:rsidR="00A31692">
        <w:rPr>
          <w:rFonts w:ascii="Bookman Old Style" w:hAnsi="Bookman Old Style"/>
        </w:rPr>
        <w:t xml:space="preserve"> e </w:t>
      </w:r>
      <w:r w:rsidRPr="00714A95">
        <w:rPr>
          <w:rFonts w:ascii="Bookman Old Style" w:hAnsi="Bookman Old Style"/>
        </w:rPr>
        <w:t>incrementa di 360 milioni di euro la dotazione per il 2019 del Fondo per le emergenze nazionali.</w:t>
      </w:r>
    </w:p>
    <w:p w:rsidR="00826975" w:rsidRPr="00714A95" w:rsidRDefault="00826975" w:rsidP="00BE11EB">
      <w:pPr>
        <w:spacing w:after="80"/>
        <w:ind w:firstLine="0"/>
        <w:rPr>
          <w:rFonts w:ascii="Bookman Old Style" w:hAnsi="Bookman Old Style"/>
        </w:rPr>
      </w:pPr>
      <w:r w:rsidRPr="00714A95">
        <w:rPr>
          <w:rFonts w:ascii="Bookman Old Style" w:hAnsi="Bookman Old Style"/>
        </w:rPr>
        <w:t xml:space="preserve">Il </w:t>
      </w:r>
      <w:r w:rsidRPr="00180E55">
        <w:rPr>
          <w:rFonts w:ascii="Bookman Old Style" w:hAnsi="Bookman Old Style"/>
          <w:b/>
        </w:rPr>
        <w:t>comma 989</w:t>
      </w:r>
      <w:r w:rsidRPr="00714A95">
        <w:rPr>
          <w:rFonts w:ascii="Bookman Old Style" w:hAnsi="Bookman Old Style"/>
        </w:rPr>
        <w:t xml:space="preserve"> </w:t>
      </w:r>
      <w:r w:rsidRPr="00A31692">
        <w:rPr>
          <w:rFonts w:ascii="Bookman Old Style" w:hAnsi="Bookman Old Style"/>
          <w:b/>
        </w:rPr>
        <w:t xml:space="preserve">destina </w:t>
      </w:r>
      <w:r w:rsidR="00A31692" w:rsidRPr="00A31692">
        <w:rPr>
          <w:rFonts w:ascii="Bookman Old Style" w:hAnsi="Bookman Old Style"/>
          <w:b/>
        </w:rPr>
        <w:t>un importo di 85 milioni di euro versato dalla Camera dei deputati</w:t>
      </w:r>
      <w:r w:rsidR="00A31692">
        <w:rPr>
          <w:rFonts w:ascii="Bookman Old Style" w:hAnsi="Bookman Old Style"/>
        </w:rPr>
        <w:t xml:space="preserve"> al </w:t>
      </w:r>
      <w:r w:rsidRPr="00714A95">
        <w:rPr>
          <w:rFonts w:ascii="Bookman Old Style" w:hAnsi="Bookman Old Style"/>
        </w:rPr>
        <w:t>Fondo per la ricostruzione delle aree terremotate dell’Italia centrale.</w:t>
      </w:r>
    </w:p>
    <w:p w:rsidR="00826975" w:rsidRPr="00714A95" w:rsidRDefault="00826975" w:rsidP="00BE11EB">
      <w:pPr>
        <w:spacing w:after="80"/>
        <w:ind w:firstLine="0"/>
        <w:rPr>
          <w:rFonts w:ascii="Bookman Old Style" w:hAnsi="Bookman Old Style"/>
        </w:rPr>
      </w:pPr>
      <w:r w:rsidRPr="00714A95">
        <w:rPr>
          <w:rFonts w:ascii="Bookman Old Style" w:hAnsi="Bookman Old Style"/>
        </w:rPr>
        <w:t xml:space="preserve">Il </w:t>
      </w:r>
      <w:r w:rsidRPr="00180E55">
        <w:rPr>
          <w:rFonts w:ascii="Bookman Old Style" w:hAnsi="Bookman Old Style"/>
          <w:b/>
        </w:rPr>
        <w:t>comma 990</w:t>
      </w:r>
      <w:r w:rsidRPr="00714A95">
        <w:rPr>
          <w:rFonts w:ascii="Bookman Old Style" w:hAnsi="Bookman Old Style"/>
        </w:rPr>
        <w:t xml:space="preserve"> </w:t>
      </w:r>
      <w:r w:rsidRPr="00A31692">
        <w:rPr>
          <w:rFonts w:ascii="Bookman Old Style" w:hAnsi="Bookman Old Style"/>
          <w:b/>
        </w:rPr>
        <w:t xml:space="preserve">dispone la proroga al 31 dicembre 2020 della gestione straordinaria </w:t>
      </w:r>
      <w:r w:rsidR="00A31692">
        <w:rPr>
          <w:rFonts w:ascii="Bookman Old Style" w:hAnsi="Bookman Old Style"/>
          <w:b/>
        </w:rPr>
        <w:t xml:space="preserve">per la </w:t>
      </w:r>
      <w:r w:rsidRPr="00A31692">
        <w:rPr>
          <w:rFonts w:ascii="Bookman Old Style" w:hAnsi="Bookman Old Style"/>
          <w:b/>
        </w:rPr>
        <w:t>ricostruzione</w:t>
      </w:r>
      <w:r w:rsidRPr="00A31692">
        <w:rPr>
          <w:b/>
        </w:rPr>
        <w:t xml:space="preserve"> </w:t>
      </w:r>
      <w:r w:rsidRPr="00A31692">
        <w:rPr>
          <w:rFonts w:ascii="Bookman Old Style" w:hAnsi="Bookman Old Style"/>
          <w:b/>
        </w:rPr>
        <w:t xml:space="preserve">post sisma </w:t>
      </w:r>
      <w:r w:rsidR="00A31692">
        <w:rPr>
          <w:rFonts w:ascii="Bookman Old Style" w:hAnsi="Bookman Old Style"/>
          <w:b/>
        </w:rPr>
        <w:t>C</w:t>
      </w:r>
      <w:r w:rsidRPr="00A31692">
        <w:rPr>
          <w:rFonts w:ascii="Bookman Old Style" w:hAnsi="Bookman Old Style"/>
          <w:b/>
        </w:rPr>
        <w:t>entro Italia</w:t>
      </w:r>
      <w:r w:rsidRPr="00714A95">
        <w:rPr>
          <w:rFonts w:ascii="Bookman Old Style" w:hAnsi="Bookman Old Style"/>
        </w:rPr>
        <w:t xml:space="preserve">. La proroga riguarda, nei limiti di spesa previsti per il 2018, anche gli Uffici speciali per la ricostruzione, la struttura alle dipendenze del Commissario straordinario e </w:t>
      </w:r>
      <w:r w:rsidR="00A31692">
        <w:rPr>
          <w:rFonts w:ascii="Bookman Old Style" w:hAnsi="Bookman Old Style"/>
        </w:rPr>
        <w:t xml:space="preserve">il </w:t>
      </w:r>
      <w:r w:rsidRPr="00714A95">
        <w:rPr>
          <w:rFonts w:ascii="Bookman Old Style" w:hAnsi="Bookman Old Style"/>
        </w:rPr>
        <w:t>personale assunto da Comuni e dal Dipartimento della Protezione civile a fronte dell'emergenza. Si prevede inoltre la proroga automatica, fino alla data della proroga prevista del personale distaccato, comandato, fuori ruolo o altro, presso gli Uffici per la ricostruzione e la struttura commissariale.</w:t>
      </w:r>
    </w:p>
    <w:p w:rsidR="00BE11EB" w:rsidRDefault="00A31692" w:rsidP="00BE11EB">
      <w:pPr>
        <w:spacing w:after="80"/>
        <w:ind w:firstLine="0"/>
        <w:rPr>
          <w:rFonts w:ascii="Bookman Old Style" w:hAnsi="Bookman Old Style"/>
        </w:rPr>
      </w:pPr>
      <w:bookmarkStart w:id="127" w:name="_Toc533777794"/>
      <w:r w:rsidRPr="00714A95">
        <w:rPr>
          <w:rFonts w:ascii="Bookman Old Style" w:hAnsi="Bookman Old Style"/>
        </w:rPr>
        <w:t xml:space="preserve">Il </w:t>
      </w:r>
      <w:r w:rsidRPr="00180E55">
        <w:rPr>
          <w:rFonts w:ascii="Bookman Old Style" w:hAnsi="Bookman Old Style"/>
          <w:b/>
        </w:rPr>
        <w:t>comma 991</w:t>
      </w:r>
      <w:r w:rsidRPr="00714A95">
        <w:rPr>
          <w:rFonts w:ascii="Bookman Old Style" w:hAnsi="Bookman Old Style"/>
        </w:rPr>
        <w:t xml:space="preserve"> </w:t>
      </w:r>
      <w:r w:rsidRPr="00A31692">
        <w:rPr>
          <w:rFonts w:ascii="Bookman Old Style" w:hAnsi="Bookman Old Style"/>
          <w:b/>
        </w:rPr>
        <w:t>proroga al 1° giugno 2019 il termine per la ripresa dei versamenti dei tributi</w:t>
      </w:r>
      <w:r w:rsidRPr="00714A95">
        <w:rPr>
          <w:rFonts w:ascii="Bookman Old Style" w:hAnsi="Bookman Old Style"/>
        </w:rPr>
        <w:t xml:space="preserve"> sospesi, nonché degli adempimenti e dei versamenti contributivi, nelle zone colpite dal sisma Centro Italia, elevando a 120 il numero di rate in cui sono dilazionabili i versamenti. </w:t>
      </w:r>
    </w:p>
    <w:p w:rsidR="00BE11EB" w:rsidRDefault="00A31692" w:rsidP="00BE11EB">
      <w:pPr>
        <w:spacing w:after="80"/>
        <w:ind w:firstLine="0"/>
        <w:rPr>
          <w:rFonts w:ascii="Bookman Old Style" w:hAnsi="Bookman Old Style"/>
        </w:rPr>
      </w:pPr>
      <w:r w:rsidRPr="00714A95">
        <w:rPr>
          <w:rFonts w:ascii="Bookman Old Style" w:hAnsi="Bookman Old Style"/>
        </w:rPr>
        <w:t xml:space="preserve">Il </w:t>
      </w:r>
      <w:r w:rsidRPr="00A31692">
        <w:rPr>
          <w:rFonts w:ascii="Bookman Old Style" w:hAnsi="Bookman Old Style"/>
          <w:b/>
        </w:rPr>
        <w:t>comma 993</w:t>
      </w:r>
      <w:r w:rsidR="00BE11EB">
        <w:rPr>
          <w:rFonts w:ascii="Bookman Old Style" w:hAnsi="Bookman Old Style"/>
          <w:b/>
        </w:rPr>
        <w:t xml:space="preserve"> proroga all’anno d’imposta 2020 </w:t>
      </w:r>
      <w:r w:rsidR="00BE11EB" w:rsidRPr="00714A95">
        <w:rPr>
          <w:rFonts w:ascii="Bookman Old Style" w:hAnsi="Bookman Old Style"/>
        </w:rPr>
        <w:t>(</w:t>
      </w:r>
      <w:r w:rsidR="00BE11EB">
        <w:rPr>
          <w:rFonts w:ascii="Bookman Old Style" w:hAnsi="Bookman Old Style"/>
        </w:rPr>
        <w:t xml:space="preserve">rispetto al previsto </w:t>
      </w:r>
      <w:r w:rsidR="00BE11EB" w:rsidRPr="00714A95">
        <w:rPr>
          <w:rFonts w:ascii="Bookman Old Style" w:hAnsi="Bookman Old Style"/>
        </w:rPr>
        <w:t>2018)</w:t>
      </w:r>
      <w:r w:rsidR="00BE11EB">
        <w:rPr>
          <w:rFonts w:ascii="Bookman Old Style" w:hAnsi="Bookman Old Style"/>
          <w:b/>
        </w:rPr>
        <w:t xml:space="preserve"> l’esenzione </w:t>
      </w:r>
      <w:r w:rsidRPr="00714A95">
        <w:rPr>
          <w:rFonts w:ascii="Bookman Old Style" w:hAnsi="Bookman Old Style"/>
        </w:rPr>
        <w:t xml:space="preserve"> </w:t>
      </w:r>
      <w:r w:rsidRPr="00A31692">
        <w:rPr>
          <w:rFonts w:ascii="Bookman Old Style" w:hAnsi="Bookman Old Style"/>
          <w:b/>
        </w:rPr>
        <w:t>da IRPEF e IRES</w:t>
      </w:r>
      <w:r w:rsidR="00BE11EB">
        <w:rPr>
          <w:rFonts w:ascii="Bookman Old Style" w:hAnsi="Bookman Old Style"/>
          <w:b/>
        </w:rPr>
        <w:t xml:space="preserve"> dei redditi dei fabbricati </w:t>
      </w:r>
      <w:r w:rsidRPr="00714A95">
        <w:rPr>
          <w:rFonts w:ascii="Bookman Old Style" w:hAnsi="Bookman Old Style"/>
        </w:rPr>
        <w:t xml:space="preserve">ubicati nelle zone colpite dagli eventi sismici del Centro Italia nel 2016 e 2017 (allegati al decreto-legge n. 189 del 2016), ove distrutti o oggetto di sgombero in quanto inagibili. </w:t>
      </w:r>
      <w:r w:rsidR="00BE11EB">
        <w:rPr>
          <w:rFonts w:ascii="Bookman Old Style" w:hAnsi="Bookman Old Style"/>
        </w:rPr>
        <w:t xml:space="preserve">La proroga riguarda </w:t>
      </w:r>
      <w:r w:rsidR="00BE11EB" w:rsidRPr="00BE11EB">
        <w:rPr>
          <w:rFonts w:ascii="Bookman Old Style" w:hAnsi="Bookman Old Style"/>
          <w:b/>
        </w:rPr>
        <w:t>anche l’esenzione dall’IMU e dalla Tasi</w:t>
      </w:r>
      <w:r w:rsidR="00BE11EB">
        <w:rPr>
          <w:rFonts w:ascii="Bookman Old Style" w:hAnsi="Bookman Old Style"/>
        </w:rPr>
        <w:t xml:space="preserve"> degli immobili distrutti o inagibili e comporta il rimborso del minor gettito ai Comuni coinvolti</w:t>
      </w:r>
    </w:p>
    <w:p w:rsidR="00DE7291" w:rsidRDefault="00A31692" w:rsidP="00BE11EB">
      <w:pPr>
        <w:spacing w:after="80"/>
        <w:ind w:firstLine="0"/>
        <w:rPr>
          <w:rFonts w:ascii="Bookman Old Style" w:hAnsi="Bookman Old Style"/>
        </w:rPr>
      </w:pPr>
      <w:r w:rsidRPr="00714A95">
        <w:rPr>
          <w:rFonts w:ascii="Bookman Old Style" w:hAnsi="Bookman Old Style"/>
        </w:rPr>
        <w:t xml:space="preserve">I </w:t>
      </w:r>
      <w:r w:rsidRPr="00A31692">
        <w:rPr>
          <w:rFonts w:ascii="Bookman Old Style" w:hAnsi="Bookman Old Style"/>
          <w:b/>
        </w:rPr>
        <w:t>commi 994 e 995</w:t>
      </w:r>
      <w:r w:rsidRPr="00714A95">
        <w:rPr>
          <w:rFonts w:ascii="Bookman Old Style" w:hAnsi="Bookman Old Style"/>
        </w:rPr>
        <w:t xml:space="preserve"> </w:t>
      </w:r>
      <w:r w:rsidRPr="00A31692">
        <w:rPr>
          <w:rFonts w:ascii="Bookman Old Style" w:hAnsi="Bookman Old Style"/>
          <w:b/>
        </w:rPr>
        <w:t>prorogano al 1° gennaio 2020</w:t>
      </w:r>
      <w:r w:rsidRPr="00714A95">
        <w:rPr>
          <w:rFonts w:ascii="Bookman Old Style" w:hAnsi="Bookman Old Style"/>
        </w:rPr>
        <w:t xml:space="preserve"> (in luogo del 1° gennaio 2019) </w:t>
      </w:r>
      <w:r w:rsidRPr="00A31692">
        <w:rPr>
          <w:rFonts w:ascii="Bookman Old Style" w:hAnsi="Bookman Old Style"/>
          <w:b/>
        </w:rPr>
        <w:t>la sospensione dei termini per la notifica delle cartelle</w:t>
      </w:r>
      <w:r w:rsidRPr="00714A95">
        <w:rPr>
          <w:rFonts w:ascii="Bookman Old Style" w:hAnsi="Bookman Old Style"/>
        </w:rPr>
        <w:t xml:space="preserve"> di pagamento e per la riscossione delle somme risultanti dagli atti di accertamento esecutivo e delle somme accertate e a qualunque titolo dovute all’INPS (articoli 29 e 30 del decreto-legge n. 78/2010), nonché per le attività esecutive da parte degli agenti della riscossione, e dei termini di prescrizione e decadenza relativi all’attività degli enti creditori, ivi compresi quelli degli enti locali.  </w:t>
      </w:r>
    </w:p>
    <w:p w:rsidR="00A31692" w:rsidRPr="00714A95" w:rsidRDefault="00A31692" w:rsidP="00BE11EB">
      <w:pPr>
        <w:spacing w:after="80"/>
        <w:ind w:firstLine="0"/>
        <w:rPr>
          <w:rFonts w:ascii="Bookman Old Style" w:hAnsi="Bookman Old Style"/>
        </w:rPr>
      </w:pPr>
      <w:r w:rsidRPr="00714A95">
        <w:rPr>
          <w:rFonts w:ascii="Bookman Old Style" w:hAnsi="Bookman Old Style"/>
        </w:rPr>
        <w:t>I</w:t>
      </w:r>
      <w:r w:rsidR="00DE7291">
        <w:rPr>
          <w:rFonts w:ascii="Bookman Old Style" w:hAnsi="Bookman Old Style"/>
        </w:rPr>
        <w:t>l</w:t>
      </w:r>
      <w:r w:rsidRPr="00714A95">
        <w:rPr>
          <w:rFonts w:ascii="Bookman Old Style" w:hAnsi="Bookman Old Style"/>
        </w:rPr>
        <w:t xml:space="preserve"> </w:t>
      </w:r>
      <w:r w:rsidRPr="00A31692">
        <w:rPr>
          <w:rFonts w:ascii="Bookman Old Style" w:hAnsi="Bookman Old Style"/>
          <w:b/>
        </w:rPr>
        <w:t>comm</w:t>
      </w:r>
      <w:r w:rsidR="00DE7291">
        <w:rPr>
          <w:rFonts w:ascii="Bookman Old Style" w:hAnsi="Bookman Old Style"/>
          <w:b/>
        </w:rPr>
        <w:t>a</w:t>
      </w:r>
      <w:r w:rsidRPr="00A31692">
        <w:rPr>
          <w:rFonts w:ascii="Bookman Old Style" w:hAnsi="Bookman Old Style"/>
          <w:b/>
        </w:rPr>
        <w:t xml:space="preserve"> 997 </w:t>
      </w:r>
      <w:r w:rsidR="00DE7291">
        <w:rPr>
          <w:rFonts w:ascii="Bookman Old Style" w:hAnsi="Bookman Old Style"/>
          <w:b/>
        </w:rPr>
        <w:t xml:space="preserve">esenta </w:t>
      </w:r>
      <w:r w:rsidR="00DE7291" w:rsidRPr="003F7C63">
        <w:rPr>
          <w:rFonts w:ascii="Bookman Old Style" w:hAnsi="Bookman Old Style"/>
          <w:b/>
        </w:rPr>
        <w:t xml:space="preserve">dall’imposta </w:t>
      </w:r>
      <w:r w:rsidRPr="003F7C63">
        <w:rPr>
          <w:rFonts w:ascii="Bookman Old Style" w:hAnsi="Bookman Old Style"/>
          <w:b/>
        </w:rPr>
        <w:t xml:space="preserve">sulle insegne di esercizio </w:t>
      </w:r>
      <w:r w:rsidR="00DE7291" w:rsidRPr="003F7C63">
        <w:rPr>
          <w:rFonts w:ascii="Bookman Old Style" w:hAnsi="Bookman Old Style"/>
          <w:b/>
        </w:rPr>
        <w:t xml:space="preserve">e dalla tassa per l’occupazione di spazi ed aree pubbliche le </w:t>
      </w:r>
      <w:r w:rsidRPr="003F7C63">
        <w:rPr>
          <w:rFonts w:ascii="Bookman Old Style" w:hAnsi="Bookman Old Style"/>
          <w:b/>
        </w:rPr>
        <w:t>attività commerciali e di produzione</w:t>
      </w:r>
      <w:r w:rsidRPr="00DE7291">
        <w:rPr>
          <w:rFonts w:ascii="Bookman Old Style" w:hAnsi="Bookman Old Style"/>
          <w:b/>
        </w:rPr>
        <w:t xml:space="preserve"> di beni o servizi</w:t>
      </w:r>
      <w:r w:rsidRPr="00714A95">
        <w:rPr>
          <w:rFonts w:ascii="Bookman Old Style" w:hAnsi="Bookman Old Style"/>
        </w:rPr>
        <w:t xml:space="preserve"> con sede legale od operativa nei territori d</w:t>
      </w:r>
      <w:r w:rsidR="00DE7291">
        <w:rPr>
          <w:rFonts w:ascii="Bookman Old Style" w:hAnsi="Bookman Old Style"/>
        </w:rPr>
        <w:t>e</w:t>
      </w:r>
      <w:r>
        <w:rPr>
          <w:rFonts w:ascii="Bookman Old Style" w:hAnsi="Bookman Old Style"/>
        </w:rPr>
        <w:t xml:space="preserve">l sisma </w:t>
      </w:r>
      <w:r w:rsidRPr="00714A95">
        <w:rPr>
          <w:rFonts w:ascii="Bookman Old Style" w:hAnsi="Bookman Old Style"/>
        </w:rPr>
        <w:t>Centro Italia</w:t>
      </w:r>
      <w:r w:rsidR="00DE7291">
        <w:rPr>
          <w:rFonts w:ascii="Bookman Old Style" w:hAnsi="Bookman Old Style"/>
        </w:rPr>
        <w:t xml:space="preserve">. La norma non </w:t>
      </w:r>
      <w:r w:rsidR="003F7C63">
        <w:rPr>
          <w:rFonts w:ascii="Bookman Old Style" w:hAnsi="Bookman Old Style"/>
        </w:rPr>
        <w:t xml:space="preserve">menziona </w:t>
      </w:r>
      <w:r w:rsidR="00DE7291">
        <w:rPr>
          <w:rFonts w:ascii="Bookman Old Style" w:hAnsi="Bookman Old Style"/>
        </w:rPr>
        <w:t>i corrispondenti ed alternativi canoni che i Comuni e le Province hanno potuto applicare ai sensi del d.lgs. 446 del 1996</w:t>
      </w:r>
      <w:r w:rsidR="003F7C63">
        <w:rPr>
          <w:rFonts w:ascii="Bookman Old Style" w:hAnsi="Bookman Old Style"/>
        </w:rPr>
        <w:t xml:space="preserve"> e il </w:t>
      </w:r>
      <w:r w:rsidR="003F7C63" w:rsidRPr="003F7C63">
        <w:rPr>
          <w:rFonts w:ascii="Bookman Old Style" w:hAnsi="Bookman Old Style"/>
          <w:b/>
        </w:rPr>
        <w:t>comma 998</w:t>
      </w:r>
      <w:r w:rsidR="003F7C63">
        <w:rPr>
          <w:rFonts w:ascii="Bookman Old Style" w:hAnsi="Bookman Old Style"/>
        </w:rPr>
        <w:t xml:space="preserve"> demanda ad un regolamento del </w:t>
      </w:r>
      <w:proofErr w:type="spellStart"/>
      <w:r w:rsidR="003F7C63">
        <w:rPr>
          <w:rFonts w:ascii="Bookman Old Style" w:hAnsi="Bookman Old Style"/>
        </w:rPr>
        <w:t>Mef</w:t>
      </w:r>
      <w:proofErr w:type="spellEnd"/>
      <w:r w:rsidR="003F7C63">
        <w:rPr>
          <w:rFonts w:ascii="Bookman Old Style" w:hAnsi="Bookman Old Style"/>
        </w:rPr>
        <w:t xml:space="preserve"> da emanarsi entro il mese di marzo 2019 l’applicazione dell’esenzione.</w:t>
      </w:r>
    </w:p>
    <w:p w:rsidR="00A31692" w:rsidRPr="00A31692" w:rsidRDefault="00A31692" w:rsidP="00BE11EB">
      <w:pPr>
        <w:spacing w:after="80"/>
        <w:ind w:firstLine="0"/>
      </w:pPr>
    </w:p>
    <w:p w:rsidR="0011415D" w:rsidRPr="001B56B7" w:rsidRDefault="0011415D" w:rsidP="0011415D">
      <w:pPr>
        <w:pStyle w:val="Titolo2"/>
        <w:ind w:firstLine="0"/>
        <w:rPr>
          <w:rFonts w:ascii="Bookman Old Style" w:hAnsi="Bookman Old Style"/>
          <w:b/>
          <w:sz w:val="22"/>
          <w:szCs w:val="22"/>
        </w:rPr>
      </w:pPr>
      <w:bookmarkStart w:id="128" w:name="_Toc533979351"/>
      <w:bookmarkStart w:id="129" w:name="_Toc534028008"/>
      <w:bookmarkStart w:id="130" w:name="_Toc533777796"/>
      <w:bookmarkEnd w:id="127"/>
      <w:r w:rsidRPr="001B56B7">
        <w:rPr>
          <w:rFonts w:ascii="Bookman Old Style" w:hAnsi="Bookman Old Style"/>
          <w:b/>
          <w:sz w:val="22"/>
          <w:szCs w:val="22"/>
        </w:rPr>
        <w:t>Sisma L’Aquila 2009</w:t>
      </w:r>
      <w:bookmarkEnd w:id="128"/>
      <w:bookmarkEnd w:id="129"/>
      <w:r w:rsidRPr="001B56B7">
        <w:rPr>
          <w:rFonts w:ascii="Bookman Old Style" w:hAnsi="Bookman Old Style"/>
          <w:b/>
          <w:sz w:val="22"/>
          <w:szCs w:val="22"/>
        </w:rPr>
        <w:t xml:space="preserve"> </w:t>
      </w:r>
    </w:p>
    <w:bookmarkEnd w:id="130"/>
    <w:p w:rsidR="00A31692" w:rsidRDefault="00A31692" w:rsidP="0011415D">
      <w:pPr>
        <w:ind w:firstLine="0"/>
        <w:rPr>
          <w:rFonts w:ascii="Bookman Old Style" w:hAnsi="Bookman Old Style"/>
        </w:rPr>
      </w:pPr>
      <w:r w:rsidRPr="00714A95">
        <w:rPr>
          <w:rFonts w:ascii="Bookman Old Style" w:hAnsi="Bookman Old Style"/>
        </w:rPr>
        <w:t xml:space="preserve">Il </w:t>
      </w:r>
      <w:r w:rsidRPr="00180E55">
        <w:rPr>
          <w:rFonts w:ascii="Bookman Old Style" w:hAnsi="Bookman Old Style"/>
          <w:b/>
        </w:rPr>
        <w:t>comma 996</w:t>
      </w:r>
      <w:r w:rsidRPr="00714A95">
        <w:rPr>
          <w:rFonts w:ascii="Bookman Old Style" w:hAnsi="Bookman Old Style"/>
        </w:rPr>
        <w:t xml:space="preserve">, </w:t>
      </w:r>
      <w:r w:rsidRPr="0011415D">
        <w:rPr>
          <w:rFonts w:ascii="Bookman Old Style" w:hAnsi="Bookman Old Style"/>
          <w:b/>
        </w:rPr>
        <w:t>assegna un contributo di 2 milioni di euro</w:t>
      </w:r>
      <w:r w:rsidRPr="00714A95">
        <w:rPr>
          <w:rFonts w:ascii="Bookman Old Style" w:hAnsi="Bookman Old Style"/>
        </w:rPr>
        <w:t>, per l’anno 2019, in favore dei comuni colpiti dagli eventi sismici dell’aprile 2009 diversi dal Comune dell’Aquila.</w:t>
      </w:r>
    </w:p>
    <w:p w:rsidR="001B56B7" w:rsidRPr="00714A95" w:rsidRDefault="001B56B7" w:rsidP="0011415D">
      <w:pPr>
        <w:ind w:firstLine="0"/>
        <w:rPr>
          <w:rFonts w:ascii="Bookman Old Style" w:hAnsi="Bookman Old Style"/>
        </w:rPr>
      </w:pPr>
    </w:p>
    <w:p w:rsidR="0011415D" w:rsidRPr="001B56B7" w:rsidRDefault="0011415D" w:rsidP="0011415D">
      <w:pPr>
        <w:pStyle w:val="Titolo2"/>
        <w:ind w:firstLine="0"/>
        <w:rPr>
          <w:rFonts w:ascii="Bookman Old Style" w:hAnsi="Bookman Old Style"/>
          <w:b/>
          <w:sz w:val="22"/>
          <w:szCs w:val="22"/>
        </w:rPr>
      </w:pPr>
      <w:bookmarkStart w:id="131" w:name="_Toc533979352"/>
      <w:bookmarkStart w:id="132" w:name="_Toc534028009"/>
      <w:bookmarkStart w:id="133" w:name="_Toc533777790"/>
      <w:r w:rsidRPr="001B56B7">
        <w:rPr>
          <w:rFonts w:ascii="Bookman Old Style" w:hAnsi="Bookman Old Style"/>
          <w:b/>
          <w:sz w:val="22"/>
          <w:szCs w:val="22"/>
        </w:rPr>
        <w:t>Sisma 2012</w:t>
      </w:r>
      <w:r w:rsidR="001B56B7">
        <w:rPr>
          <w:rFonts w:ascii="Bookman Old Style" w:hAnsi="Bookman Old Style"/>
          <w:b/>
          <w:sz w:val="22"/>
          <w:szCs w:val="22"/>
        </w:rPr>
        <w:t xml:space="preserve"> Emilia-Romagna e territori colpiti da eventi atmosferici eccezionali nel 2014</w:t>
      </w:r>
      <w:bookmarkEnd w:id="131"/>
      <w:bookmarkEnd w:id="132"/>
    </w:p>
    <w:bookmarkEnd w:id="133"/>
    <w:p w:rsidR="0011415D" w:rsidRPr="00714A95" w:rsidRDefault="0011415D" w:rsidP="0011415D">
      <w:pPr>
        <w:ind w:firstLine="0"/>
        <w:rPr>
          <w:rFonts w:ascii="Bookman Old Style" w:hAnsi="Bookman Old Style"/>
        </w:rPr>
      </w:pPr>
      <w:r w:rsidRPr="00714A95">
        <w:rPr>
          <w:rFonts w:ascii="Bookman Old Style" w:hAnsi="Bookman Old Style"/>
        </w:rPr>
        <w:t xml:space="preserve">Il </w:t>
      </w:r>
      <w:r w:rsidRPr="00180E55">
        <w:rPr>
          <w:rFonts w:ascii="Bookman Old Style" w:hAnsi="Bookman Old Style"/>
          <w:b/>
        </w:rPr>
        <w:t>comma 985</w:t>
      </w:r>
      <w:r w:rsidRPr="00714A95">
        <w:rPr>
          <w:rFonts w:ascii="Bookman Old Style" w:hAnsi="Bookman Old Style"/>
        </w:rPr>
        <w:t xml:space="preserve"> </w:t>
      </w:r>
      <w:r w:rsidRPr="001B56B7">
        <w:rPr>
          <w:rFonts w:ascii="Bookman Old Style" w:hAnsi="Bookman Old Style"/>
          <w:b/>
        </w:rPr>
        <w:t>proroga l’esenzione dall’applicazione dell’IMU sugli immobili distrutti</w:t>
      </w:r>
      <w:r w:rsidRPr="00714A95">
        <w:rPr>
          <w:rFonts w:ascii="Bookman Old Style" w:hAnsi="Bookman Old Style"/>
        </w:rPr>
        <w:t xml:space="preserve"> od oggetto di ordinanze sindacali di sgombero</w:t>
      </w:r>
      <w:r>
        <w:rPr>
          <w:rFonts w:ascii="Bookman Old Style" w:hAnsi="Bookman Old Style"/>
        </w:rPr>
        <w:t xml:space="preserve"> </w:t>
      </w:r>
      <w:r w:rsidRPr="00714A95">
        <w:rPr>
          <w:rFonts w:ascii="Bookman Old Style" w:hAnsi="Bookman Old Style"/>
        </w:rPr>
        <w:t>adottate entro il 30 novembre 2012 per i comuni dell'Emilia</w:t>
      </w:r>
      <w:r>
        <w:rPr>
          <w:rFonts w:ascii="Bookman Old Style" w:hAnsi="Bookman Old Style"/>
        </w:rPr>
        <w:t>-</w:t>
      </w:r>
      <w:r w:rsidRPr="00714A95">
        <w:rPr>
          <w:rFonts w:ascii="Bookman Old Style" w:hAnsi="Bookman Old Style"/>
        </w:rPr>
        <w:t>Romagna colpiti dal sisma del 2012</w:t>
      </w:r>
      <w:r>
        <w:rPr>
          <w:rFonts w:ascii="Bookman Old Style" w:hAnsi="Bookman Old Style"/>
        </w:rPr>
        <w:t>,</w:t>
      </w:r>
      <w:r w:rsidRPr="00714A95">
        <w:rPr>
          <w:rFonts w:ascii="Bookman Old Style" w:hAnsi="Bookman Old Style"/>
        </w:rPr>
        <w:t xml:space="preserve"> così come individuati dall’art</w:t>
      </w:r>
      <w:r>
        <w:rPr>
          <w:rFonts w:ascii="Bookman Old Style" w:hAnsi="Bookman Old Style"/>
        </w:rPr>
        <w:t xml:space="preserve">. </w:t>
      </w:r>
      <w:r w:rsidRPr="00714A95">
        <w:rPr>
          <w:rFonts w:ascii="Bookman Old Style" w:hAnsi="Bookman Old Style"/>
        </w:rPr>
        <w:t>2-bis, co</w:t>
      </w:r>
      <w:r>
        <w:rPr>
          <w:rFonts w:ascii="Bookman Old Style" w:hAnsi="Bookman Old Style"/>
        </w:rPr>
        <w:t xml:space="preserve">. </w:t>
      </w:r>
      <w:r w:rsidRPr="00714A95">
        <w:rPr>
          <w:rFonts w:ascii="Bookman Old Style" w:hAnsi="Bookman Old Style"/>
        </w:rPr>
        <w:t>43, del Dl 148/2017, fino alla definitiva ricostruzione e agibilità dei fabbricati stessi e comunque non oltre il 31 dicembre 2019.</w:t>
      </w:r>
    </w:p>
    <w:p w:rsidR="0011415D" w:rsidRDefault="0011415D" w:rsidP="0011415D">
      <w:pPr>
        <w:ind w:firstLine="0"/>
        <w:rPr>
          <w:rFonts w:ascii="Bookman Old Style" w:hAnsi="Bookman Old Style"/>
        </w:rPr>
      </w:pPr>
      <w:r w:rsidRPr="00714A95">
        <w:rPr>
          <w:rFonts w:ascii="Bookman Old Style" w:hAnsi="Bookman Old Style"/>
        </w:rPr>
        <w:t xml:space="preserve">Il </w:t>
      </w:r>
      <w:r w:rsidRPr="00180E55">
        <w:rPr>
          <w:rFonts w:ascii="Bookman Old Style" w:hAnsi="Bookman Old Style"/>
          <w:b/>
        </w:rPr>
        <w:t>comma 987</w:t>
      </w:r>
      <w:r w:rsidRPr="00714A95">
        <w:rPr>
          <w:rFonts w:ascii="Bookman Old Style" w:hAnsi="Bookman Old Style"/>
        </w:rPr>
        <w:t xml:space="preserve"> </w:t>
      </w:r>
      <w:r w:rsidR="001B56B7" w:rsidRPr="001B56B7">
        <w:rPr>
          <w:rFonts w:ascii="Bookman Old Style" w:hAnsi="Bookman Old Style"/>
          <w:b/>
        </w:rPr>
        <w:t xml:space="preserve">proroga </w:t>
      </w:r>
      <w:r w:rsidRPr="001B56B7">
        <w:rPr>
          <w:rFonts w:ascii="Bookman Old Style" w:hAnsi="Bookman Old Style"/>
          <w:b/>
        </w:rPr>
        <w:t xml:space="preserve">al 31 dicembre 2019 </w:t>
      </w:r>
      <w:r w:rsidR="001B56B7" w:rsidRPr="001B56B7">
        <w:rPr>
          <w:rFonts w:ascii="Bookman Old Style" w:hAnsi="Bookman Old Style"/>
          <w:b/>
        </w:rPr>
        <w:t xml:space="preserve">la </w:t>
      </w:r>
      <w:r w:rsidRPr="001B56B7">
        <w:rPr>
          <w:rFonts w:ascii="Bookman Old Style" w:hAnsi="Bookman Old Style"/>
          <w:b/>
        </w:rPr>
        <w:t>sospensione delle rate dei mutui in essere con banche o intermediari finanziari</w:t>
      </w:r>
      <w:r>
        <w:rPr>
          <w:rFonts w:ascii="Bookman Old Style" w:hAnsi="Bookman Old Style"/>
        </w:rPr>
        <w:t xml:space="preserve"> (</w:t>
      </w:r>
      <w:r w:rsidRPr="00714A95">
        <w:rPr>
          <w:rFonts w:ascii="Bookman Old Style" w:hAnsi="Bookman Old Style"/>
        </w:rPr>
        <w:t>art</w:t>
      </w:r>
      <w:r>
        <w:rPr>
          <w:rFonts w:ascii="Bookman Old Style" w:hAnsi="Bookman Old Style"/>
        </w:rPr>
        <w:t xml:space="preserve">. </w:t>
      </w:r>
      <w:r w:rsidRPr="00714A95">
        <w:rPr>
          <w:rFonts w:ascii="Bookman Old Style" w:hAnsi="Bookman Old Style"/>
        </w:rPr>
        <w:t>3, comma 2-bis, Dl 4/2014</w:t>
      </w:r>
      <w:r>
        <w:rPr>
          <w:rFonts w:ascii="Bookman Old Style" w:hAnsi="Bookman Old Style"/>
        </w:rPr>
        <w:t>).</w:t>
      </w:r>
      <w:r w:rsidRPr="00714A95">
        <w:rPr>
          <w:rFonts w:ascii="Bookman Old Style" w:hAnsi="Bookman Old Style"/>
        </w:rPr>
        <w:t xml:space="preserve"> </w:t>
      </w:r>
      <w:r>
        <w:rPr>
          <w:rFonts w:ascii="Bookman Old Style" w:hAnsi="Bookman Old Style"/>
        </w:rPr>
        <w:t xml:space="preserve">La norma riguarda i </w:t>
      </w:r>
      <w:r w:rsidRPr="00714A95">
        <w:rPr>
          <w:rFonts w:ascii="Bookman Old Style" w:hAnsi="Bookman Old Style"/>
        </w:rPr>
        <w:t xml:space="preserve">soggetti titolari di mutui, ipotecari o chirografari, relativi a edifici distrutti, inagibili o inabitabili </w:t>
      </w:r>
      <w:r>
        <w:rPr>
          <w:rFonts w:ascii="Bookman Old Style" w:hAnsi="Bookman Old Style"/>
        </w:rPr>
        <w:t xml:space="preserve"> </w:t>
      </w:r>
      <w:r w:rsidR="001B56B7">
        <w:rPr>
          <w:rFonts w:ascii="Bookman Old Style" w:hAnsi="Bookman Old Style"/>
        </w:rPr>
        <w:t xml:space="preserve">– </w:t>
      </w:r>
      <w:r w:rsidRPr="00714A95">
        <w:rPr>
          <w:rFonts w:ascii="Bookman Old Style" w:hAnsi="Bookman Old Style"/>
        </w:rPr>
        <w:t>anche parzialmente</w:t>
      </w:r>
      <w:r>
        <w:rPr>
          <w:rFonts w:ascii="Bookman Old Style" w:hAnsi="Bookman Old Style"/>
        </w:rPr>
        <w:t xml:space="preserve"> – </w:t>
      </w:r>
      <w:r w:rsidRPr="00714A95">
        <w:rPr>
          <w:rFonts w:ascii="Bookman Old Style" w:hAnsi="Bookman Old Style"/>
        </w:rPr>
        <w:t>ovvero relativi alla gestione di attività economic</w:t>
      </w:r>
      <w:r w:rsidR="001B56B7">
        <w:rPr>
          <w:rFonts w:ascii="Bookman Old Style" w:hAnsi="Bookman Old Style"/>
        </w:rPr>
        <w:t>he</w:t>
      </w:r>
      <w:r w:rsidRPr="00714A95">
        <w:rPr>
          <w:rFonts w:ascii="Bookman Old Style" w:hAnsi="Bookman Old Style"/>
        </w:rPr>
        <w:t xml:space="preserve"> svolte nei medesimi edifici e che abbiano residenza o sede legale o operativa in uno dei comuni colpiti dal sisma</w:t>
      </w:r>
      <w:r w:rsidR="001B56B7">
        <w:rPr>
          <w:rFonts w:ascii="Bookman Old Style" w:hAnsi="Bookman Old Style"/>
        </w:rPr>
        <w:t>.</w:t>
      </w:r>
      <w:r w:rsidRPr="00714A95">
        <w:rPr>
          <w:rFonts w:ascii="Bookman Old Style" w:hAnsi="Bookman Old Style"/>
        </w:rPr>
        <w:t xml:space="preserve"> </w:t>
      </w:r>
      <w:r w:rsidR="001B56B7">
        <w:rPr>
          <w:rFonts w:ascii="Bookman Old Style" w:hAnsi="Bookman Old Style"/>
        </w:rPr>
        <w:t xml:space="preserve">La previsione si estende inoltre ai territori dei </w:t>
      </w:r>
      <w:r w:rsidRPr="00714A95">
        <w:rPr>
          <w:rFonts w:ascii="Bookman Old Style" w:hAnsi="Bookman Old Style"/>
        </w:rPr>
        <w:t>comuni colpiti dall’alluvione del 17 e 19 gennaio 2014</w:t>
      </w:r>
      <w:r w:rsidR="001B56B7">
        <w:rPr>
          <w:rFonts w:ascii="Bookman Old Style" w:hAnsi="Bookman Old Style"/>
        </w:rPr>
        <w:t xml:space="preserve"> e dei </w:t>
      </w:r>
      <w:r w:rsidRPr="00714A95">
        <w:rPr>
          <w:rFonts w:ascii="Bookman Old Style" w:hAnsi="Bookman Old Style"/>
        </w:rPr>
        <w:t>comuni colpiti da</w:t>
      </w:r>
      <w:r w:rsidR="001B56B7">
        <w:rPr>
          <w:rFonts w:ascii="Bookman Old Style" w:hAnsi="Bookman Old Style"/>
        </w:rPr>
        <w:t>gli</w:t>
      </w:r>
      <w:r w:rsidRPr="00714A95">
        <w:rPr>
          <w:rFonts w:ascii="Bookman Old Style" w:hAnsi="Bookman Old Style"/>
        </w:rPr>
        <w:t xml:space="preserve"> eccezionali eventi atmosferici </w:t>
      </w:r>
      <w:r w:rsidR="001B56B7">
        <w:rPr>
          <w:rFonts w:ascii="Bookman Old Style" w:hAnsi="Bookman Old Style"/>
        </w:rPr>
        <w:t xml:space="preserve">del </w:t>
      </w:r>
      <w:r w:rsidRPr="00714A95">
        <w:rPr>
          <w:rFonts w:ascii="Bookman Old Style" w:hAnsi="Bookman Old Style"/>
        </w:rPr>
        <w:t>periodo tra il 30 gennaio e il 18 febbraio 2014.</w:t>
      </w:r>
    </w:p>
    <w:p w:rsidR="00D23905" w:rsidRPr="00D23905" w:rsidRDefault="00D23905" w:rsidP="00D23905">
      <w:pPr>
        <w:ind w:firstLine="0"/>
        <w:rPr>
          <w:rFonts w:ascii="Bookman Old Style" w:hAnsi="Bookman Old Style"/>
        </w:rPr>
      </w:pPr>
      <w:r w:rsidRPr="00D23905">
        <w:rPr>
          <w:rFonts w:ascii="Bookman Old Style" w:hAnsi="Bookman Old Style"/>
        </w:rPr>
        <w:t xml:space="preserve">I </w:t>
      </w:r>
      <w:r w:rsidRPr="00D23905">
        <w:rPr>
          <w:rFonts w:ascii="Bookman Old Style" w:hAnsi="Bookman Old Style"/>
          <w:b/>
        </w:rPr>
        <w:t>commi</w:t>
      </w:r>
      <w:r w:rsidRPr="00D23905">
        <w:rPr>
          <w:rFonts w:ascii="Bookman Old Style" w:hAnsi="Bookman Old Style"/>
        </w:rPr>
        <w:t xml:space="preserve"> </w:t>
      </w:r>
      <w:r w:rsidRPr="00D23905">
        <w:rPr>
          <w:rFonts w:ascii="Bookman Old Style" w:hAnsi="Bookman Old Style"/>
          <w:b/>
        </w:rPr>
        <w:t>1006-1009 prorogano la sospensione del pagamento delle rate di mutui per gli enti colpiti dal sisma 2012 (Emilia Romagna, Lombardia e Veneto)</w:t>
      </w:r>
      <w:r w:rsidRPr="00D23905">
        <w:rPr>
          <w:rFonts w:ascii="Bookman Old Style" w:hAnsi="Bookman Old Style"/>
        </w:rPr>
        <w:t>.</w:t>
      </w:r>
      <w:r>
        <w:rPr>
          <w:rFonts w:ascii="Bookman Old Style" w:hAnsi="Bookman Old Style"/>
        </w:rPr>
        <w:t xml:space="preserve"> </w:t>
      </w:r>
      <w:r w:rsidRPr="00D23905">
        <w:rPr>
          <w:rFonts w:ascii="Bookman Old Style" w:hAnsi="Bookman Old Style"/>
        </w:rPr>
        <w:t>Nello specifico, il </w:t>
      </w:r>
      <w:r w:rsidRPr="00D23905">
        <w:rPr>
          <w:rFonts w:ascii="Bookman Old Style" w:hAnsi="Bookman Old Style"/>
          <w:b/>
        </w:rPr>
        <w:t>comma 1006</w:t>
      </w:r>
      <w:r w:rsidRPr="00D23905">
        <w:rPr>
          <w:rFonts w:ascii="Bookman Old Style" w:hAnsi="Bookman Old Style"/>
        </w:rPr>
        <w:t> dispone la proroga all’anno 2020 della sospensione degli oneri relativi al pagamento delle rate dei mutui gestiti dalla Cassa depositi e prestiti da corrispondere nell'anno 2019 (incluse quelle il cui pagamento è stato differito ai sensi delle leggi di stabilità 2013-2015), nei confronti degli enti locali colpiti dagli eventi sismici del maggio 2012. A partire dal 2020, gli oneri dovranno essere corrisposti in dieci rate annuali di pari importo, senza il pagamento di sanzioni ed interessi.</w:t>
      </w:r>
      <w:r>
        <w:rPr>
          <w:rFonts w:ascii="Bookman Old Style" w:hAnsi="Bookman Old Style"/>
        </w:rPr>
        <w:t xml:space="preserve"> </w:t>
      </w:r>
      <w:r w:rsidRPr="00D23905">
        <w:rPr>
          <w:rFonts w:ascii="Bookman Old Style" w:hAnsi="Bookman Old Style"/>
        </w:rPr>
        <w:t xml:space="preserve">Va precisato che la proroga riguarda esclusivamente i mutui che nel 2003, in occasione della riforma della </w:t>
      </w:r>
      <w:proofErr w:type="spellStart"/>
      <w:r w:rsidRPr="00D23905">
        <w:rPr>
          <w:rFonts w:ascii="Bookman Old Style" w:hAnsi="Bookman Old Style"/>
        </w:rPr>
        <w:t>Cdp</w:t>
      </w:r>
      <w:proofErr w:type="spellEnd"/>
      <w:r w:rsidRPr="00D23905">
        <w:rPr>
          <w:rFonts w:ascii="Bookman Old Style" w:hAnsi="Bookman Old Style"/>
        </w:rPr>
        <w:t xml:space="preserve">, sono rimasti nella titolarità del </w:t>
      </w:r>
      <w:proofErr w:type="spellStart"/>
      <w:r>
        <w:rPr>
          <w:rFonts w:ascii="Bookman Old Style" w:hAnsi="Bookman Old Style"/>
        </w:rPr>
        <w:t>Mef</w:t>
      </w:r>
      <w:proofErr w:type="spellEnd"/>
      <w:r w:rsidRPr="00D23905">
        <w:rPr>
          <w:rFonts w:ascii="Bookman Old Style" w:hAnsi="Bookman Old Style"/>
        </w:rPr>
        <w:t xml:space="preserve">. L’intero portafoglio dei mutui </w:t>
      </w:r>
      <w:proofErr w:type="spellStart"/>
      <w:r w:rsidRPr="00D23905">
        <w:rPr>
          <w:rFonts w:ascii="Bookman Old Style" w:hAnsi="Bookman Old Style"/>
        </w:rPr>
        <w:t>Cdp</w:t>
      </w:r>
      <w:proofErr w:type="spellEnd"/>
      <w:r w:rsidRPr="00D23905">
        <w:rPr>
          <w:rFonts w:ascii="Bookman Old Style" w:hAnsi="Bookman Old Style"/>
        </w:rPr>
        <w:t xml:space="preserve"> potrà essere oggetto della medesima proroga solo a seguito di autonoma determinazione da parte della Cassa.</w:t>
      </w:r>
    </w:p>
    <w:p w:rsidR="0011415D" w:rsidRDefault="0011415D">
      <w:pPr>
        <w:spacing w:after="200" w:line="276" w:lineRule="auto"/>
        <w:ind w:firstLine="0"/>
        <w:jc w:val="left"/>
        <w:rPr>
          <w:lang w:eastAsia="en-US"/>
        </w:rPr>
      </w:pPr>
    </w:p>
    <w:p w:rsidR="0011415D" w:rsidRDefault="0011415D" w:rsidP="0011415D">
      <w:pPr>
        <w:pStyle w:val="Titolo2"/>
        <w:ind w:firstLine="0"/>
        <w:rPr>
          <w:rFonts w:ascii="Bookman Old Style" w:hAnsi="Bookman Old Style"/>
          <w:b/>
          <w:sz w:val="22"/>
          <w:szCs w:val="22"/>
        </w:rPr>
      </w:pPr>
      <w:bookmarkStart w:id="134" w:name="_Toc533979353"/>
      <w:bookmarkStart w:id="135" w:name="_Toc534028010"/>
      <w:r>
        <w:rPr>
          <w:rFonts w:ascii="Bookman Old Style" w:hAnsi="Bookman Old Style"/>
          <w:b/>
          <w:sz w:val="22"/>
          <w:szCs w:val="22"/>
        </w:rPr>
        <w:t xml:space="preserve">Sisma Marche-Umbria 1997 </w:t>
      </w:r>
      <w:r w:rsidR="001B56B7">
        <w:rPr>
          <w:rFonts w:ascii="Bookman Old Style" w:hAnsi="Bookman Old Style"/>
          <w:b/>
          <w:sz w:val="22"/>
          <w:szCs w:val="22"/>
        </w:rPr>
        <w:t xml:space="preserve">- </w:t>
      </w:r>
      <w:r w:rsidRPr="00B10F88">
        <w:rPr>
          <w:rFonts w:ascii="Bookman Old Style" w:hAnsi="Bookman Old Style"/>
          <w:b/>
          <w:sz w:val="22"/>
          <w:szCs w:val="22"/>
        </w:rPr>
        <w:t>Recupero di somme eccedenti</w:t>
      </w:r>
      <w:r>
        <w:rPr>
          <w:rFonts w:ascii="Bookman Old Style" w:hAnsi="Bookman Old Style"/>
          <w:b/>
          <w:sz w:val="22"/>
          <w:szCs w:val="22"/>
        </w:rPr>
        <w:t xml:space="preserve"> </w:t>
      </w:r>
      <w:r w:rsidR="005149E3">
        <w:rPr>
          <w:rFonts w:ascii="Bookman Old Style" w:hAnsi="Bookman Old Style"/>
          <w:b/>
          <w:sz w:val="22"/>
          <w:szCs w:val="22"/>
        </w:rPr>
        <w:t xml:space="preserve">da </w:t>
      </w:r>
      <w:r>
        <w:rPr>
          <w:rFonts w:ascii="Bookman Old Style" w:hAnsi="Bookman Old Style"/>
          <w:b/>
          <w:sz w:val="22"/>
          <w:szCs w:val="22"/>
        </w:rPr>
        <w:t>contenziosi</w:t>
      </w:r>
      <w:bookmarkEnd w:id="134"/>
      <w:bookmarkEnd w:id="135"/>
    </w:p>
    <w:p w:rsidR="0011415D" w:rsidRDefault="0011415D" w:rsidP="0011415D">
      <w:pPr>
        <w:ind w:firstLine="0"/>
        <w:rPr>
          <w:rFonts w:ascii="Bookman Old Style" w:hAnsi="Bookman Old Style"/>
        </w:rPr>
      </w:pPr>
      <w:r w:rsidRPr="0011415D">
        <w:rPr>
          <w:rFonts w:ascii="Bookman Old Style" w:hAnsi="Bookman Old Style"/>
        </w:rPr>
        <w:t xml:space="preserve">Il </w:t>
      </w:r>
      <w:r w:rsidRPr="0011415D">
        <w:rPr>
          <w:rFonts w:ascii="Bookman Old Style" w:hAnsi="Bookman Old Style"/>
          <w:b/>
        </w:rPr>
        <w:t>comma 992</w:t>
      </w:r>
      <w:r w:rsidRPr="0011415D">
        <w:rPr>
          <w:rFonts w:ascii="Bookman Old Style" w:hAnsi="Bookman Old Style"/>
        </w:rPr>
        <w:t xml:space="preserve"> conferma l’obbligo del beneficiario di restituire al Comune le somme eccedenti il contributo dovuto, relative alle spese sostenute dal medesimo Comune per l’intervento sostitutivo, qualora, per inadempimenti non imputabili ai beneficiari, insorga un contenzioso relativo alla progettazione, direzione o realizzazione dei lavori di ricostruzione relativi al</w:t>
      </w:r>
      <w:r>
        <w:rPr>
          <w:rFonts w:ascii="Bookman Old Style" w:hAnsi="Bookman Old Style"/>
        </w:rPr>
        <w:t xml:space="preserve"> terremoto del </w:t>
      </w:r>
      <w:r w:rsidRPr="0011415D">
        <w:rPr>
          <w:rFonts w:ascii="Bookman Old Style" w:hAnsi="Bookman Old Style"/>
        </w:rPr>
        <w:t>settembre 1997.</w:t>
      </w:r>
    </w:p>
    <w:p w:rsidR="00350856" w:rsidRDefault="00350856" w:rsidP="0011415D">
      <w:pPr>
        <w:ind w:firstLine="0"/>
        <w:rPr>
          <w:rFonts w:ascii="Bookman Old Style" w:hAnsi="Bookman Old Style"/>
        </w:rPr>
      </w:pPr>
    </w:p>
    <w:p w:rsidR="00350856" w:rsidRDefault="00350856" w:rsidP="0011415D">
      <w:pPr>
        <w:ind w:firstLine="0"/>
        <w:rPr>
          <w:rFonts w:ascii="Bookman Old Style" w:hAnsi="Bookman Old Style"/>
        </w:rPr>
      </w:pPr>
    </w:p>
    <w:p w:rsidR="00350856" w:rsidRPr="00350856" w:rsidRDefault="00350856" w:rsidP="00350856">
      <w:pPr>
        <w:pStyle w:val="Titolo1"/>
        <w:rPr>
          <w:rFonts w:ascii="Bookman Old Style" w:eastAsiaTheme="minorHAnsi" w:hAnsi="Bookman Old Style"/>
          <w:b/>
          <w:sz w:val="24"/>
          <w:szCs w:val="24"/>
          <w:lang w:eastAsia="en-US"/>
        </w:rPr>
      </w:pPr>
      <w:bookmarkStart w:id="136" w:name="_Toc533979354"/>
      <w:bookmarkStart w:id="137" w:name="_Toc534028011"/>
      <w:r w:rsidRPr="00350856">
        <w:rPr>
          <w:rFonts w:ascii="Bookman Old Style" w:eastAsiaTheme="minorHAnsi" w:hAnsi="Bookman Old Style"/>
          <w:b/>
          <w:sz w:val="24"/>
          <w:szCs w:val="24"/>
          <w:lang w:eastAsia="en-US"/>
        </w:rPr>
        <w:t>PERSONALE</w:t>
      </w:r>
      <w:bookmarkEnd w:id="136"/>
      <w:bookmarkEnd w:id="137"/>
    </w:p>
    <w:p w:rsidR="00350856" w:rsidRDefault="00350856" w:rsidP="00350856">
      <w:pPr>
        <w:rPr>
          <w:rFonts w:eastAsiaTheme="minorHAnsi"/>
          <w:lang w:eastAsia="en-US"/>
        </w:rPr>
      </w:pPr>
    </w:p>
    <w:p w:rsidR="00264E79" w:rsidRPr="00370202" w:rsidRDefault="00370202" w:rsidP="00370202">
      <w:pPr>
        <w:pStyle w:val="Titolo2"/>
        <w:ind w:firstLine="0"/>
        <w:rPr>
          <w:rFonts w:ascii="Bookman Old Style" w:hAnsi="Bookman Old Style"/>
          <w:b/>
          <w:sz w:val="22"/>
          <w:szCs w:val="22"/>
        </w:rPr>
      </w:pPr>
      <w:bookmarkStart w:id="138" w:name="_Toc533979355"/>
      <w:bookmarkStart w:id="139" w:name="_Toc534028012"/>
      <w:bookmarkStart w:id="140" w:name="_Toc533758200"/>
      <w:r>
        <w:rPr>
          <w:rFonts w:ascii="Bookman Old Style" w:hAnsi="Bookman Old Style"/>
          <w:b/>
          <w:sz w:val="22"/>
          <w:szCs w:val="22"/>
        </w:rPr>
        <w:t>A</w:t>
      </w:r>
      <w:r w:rsidRPr="00370202">
        <w:rPr>
          <w:rFonts w:ascii="Bookman Old Style" w:hAnsi="Bookman Old Style"/>
          <w:b/>
          <w:sz w:val="22"/>
          <w:szCs w:val="22"/>
        </w:rPr>
        <w:t>vvalimento</w:t>
      </w:r>
      <w:bookmarkEnd w:id="138"/>
      <w:bookmarkEnd w:id="139"/>
      <w:r w:rsidRPr="00370202">
        <w:rPr>
          <w:rFonts w:ascii="Bookman Old Style" w:hAnsi="Bookman Old Style"/>
          <w:b/>
          <w:sz w:val="22"/>
          <w:szCs w:val="22"/>
        </w:rPr>
        <w:t xml:space="preserve"> </w:t>
      </w:r>
      <w:bookmarkEnd w:id="140"/>
    </w:p>
    <w:p w:rsidR="00264E79" w:rsidRDefault="00370202" w:rsidP="00C05442">
      <w:pPr>
        <w:autoSpaceDE w:val="0"/>
        <w:autoSpaceDN w:val="0"/>
        <w:adjustRightInd w:val="0"/>
        <w:spacing w:after="80"/>
        <w:ind w:firstLine="0"/>
        <w:rPr>
          <w:rFonts w:ascii="Bookman Old Style" w:hAnsi="Bookman Old Style"/>
          <w:szCs w:val="22"/>
        </w:rPr>
      </w:pPr>
      <w:r>
        <w:rPr>
          <w:rFonts w:ascii="Bookman Old Style" w:hAnsi="Bookman Old Style"/>
        </w:rPr>
        <w:t xml:space="preserve">Il </w:t>
      </w:r>
      <w:r>
        <w:rPr>
          <w:rFonts w:ascii="Bookman Old Style" w:hAnsi="Bookman Old Style"/>
          <w:b/>
        </w:rPr>
        <w:t>comma 124</w:t>
      </w:r>
      <w:r w:rsidR="00264E79" w:rsidRPr="001B41BD">
        <w:rPr>
          <w:rFonts w:ascii="Bookman Old Style" w:hAnsi="Bookman Old Style"/>
        </w:rPr>
        <w:t xml:space="preserve"> </w:t>
      </w:r>
      <w:r w:rsidR="00264E79">
        <w:rPr>
          <w:rFonts w:ascii="Bookman Old Style" w:hAnsi="Bookman Old Style"/>
        </w:rPr>
        <w:t>disciplina una fattispecie già regolata da fonte contrattuale,  stabilendo</w:t>
      </w:r>
      <w:r w:rsidR="00264E79" w:rsidRPr="001B41BD">
        <w:rPr>
          <w:rFonts w:ascii="Bookman Old Style" w:hAnsi="Bookman Old Style"/>
        </w:rPr>
        <w:t xml:space="preserve"> che, al</w:t>
      </w:r>
      <w:r w:rsidR="00264E79" w:rsidRPr="001B41BD">
        <w:rPr>
          <w:rFonts w:ascii="Bookman Old Style" w:eastAsiaTheme="minorHAnsi" w:hAnsi="Bookman Old Style" w:cs="TimesNewRomanPS-BoldMT"/>
          <w:bCs/>
          <w:szCs w:val="22"/>
          <w:lang w:eastAsia="en-US"/>
        </w:rPr>
        <w:t xml:space="preserve"> fine di soddisfare la migliore realizzazione dei servizi istituzionali e di conseguire una economica gestione delle risorse, gli enti locali</w:t>
      </w:r>
      <w:r w:rsidR="00264E79">
        <w:rPr>
          <w:rFonts w:ascii="Bookman Old Style" w:eastAsiaTheme="minorHAnsi" w:hAnsi="Bookman Old Style" w:cs="TimesNewRomanPS-BoldMT"/>
          <w:bCs/>
          <w:szCs w:val="22"/>
          <w:lang w:eastAsia="en-US"/>
        </w:rPr>
        <w:t xml:space="preserve"> e le regioni</w:t>
      </w:r>
      <w:r w:rsidR="00264E79" w:rsidRPr="001B41BD">
        <w:rPr>
          <w:rFonts w:ascii="Bookman Old Style" w:eastAsiaTheme="minorHAnsi" w:hAnsi="Bookman Old Style" w:cs="TimesNewRomanPS-BoldMT"/>
          <w:bCs/>
          <w:szCs w:val="22"/>
          <w:lang w:eastAsia="en-US"/>
        </w:rPr>
        <w:t xml:space="preserve"> possono utilizzare, con il consenso dei lavoratori interessati, personale assegnato da altri enti cui si applica il contratto collettivo nazionale</w:t>
      </w:r>
      <w:r w:rsidR="00264E79">
        <w:rPr>
          <w:rFonts w:ascii="Bookman Old Style" w:eastAsiaTheme="minorHAnsi" w:hAnsi="Bookman Old Style" w:cs="TimesNewRomanPS-BoldMT"/>
          <w:bCs/>
          <w:szCs w:val="22"/>
          <w:lang w:eastAsia="en-US"/>
        </w:rPr>
        <w:t xml:space="preserve"> di lavoro del comparto Regioni ed enti</w:t>
      </w:r>
      <w:r w:rsidR="00264E79" w:rsidRPr="001B41BD">
        <w:rPr>
          <w:rFonts w:ascii="Bookman Old Style" w:eastAsiaTheme="minorHAnsi" w:hAnsi="Bookman Old Style" w:cs="TimesNewRomanPS-BoldMT"/>
          <w:bCs/>
          <w:szCs w:val="22"/>
          <w:lang w:eastAsia="en-US"/>
        </w:rPr>
        <w:t xml:space="preserve"> locali per periodi predeter</w:t>
      </w:r>
      <w:r w:rsidR="00264E79" w:rsidRPr="001B41BD">
        <w:rPr>
          <w:rFonts w:ascii="Bookman Old Style" w:eastAsiaTheme="minorHAnsi" w:hAnsi="Bookman Old Style" w:cs="Times#20New#20Roman,Bold"/>
          <w:bCs/>
          <w:szCs w:val="22"/>
          <w:lang w:eastAsia="en-US"/>
        </w:rPr>
        <w:t xml:space="preserve">minati e per una parte del tempo di lavoro d’obbligo mediante convenzione e previo assenso dell’ente di appartenenza. La convenzione definisce, tra l’altro, il tempo di lavoro in assegnazione, nel rispetto del vincolo dell’orario settimanale d’obbligo, la </w:t>
      </w:r>
      <w:r w:rsidR="00264E79" w:rsidRPr="001B41BD">
        <w:rPr>
          <w:rFonts w:ascii="Bookman Old Style" w:eastAsiaTheme="minorHAnsi" w:hAnsi="Bookman Old Style" w:cs="TimesNewRomanPS-BoldMT"/>
          <w:bCs/>
          <w:szCs w:val="22"/>
          <w:lang w:eastAsia="en-US"/>
        </w:rPr>
        <w:t xml:space="preserve">ripartizione degli oneri finanziari e tutti gli altri aspetti utili per regolare il corretto utilizzo del lavoratore. Si applicano, ove </w:t>
      </w:r>
      <w:r w:rsidR="00264E79" w:rsidRPr="001B41BD">
        <w:rPr>
          <w:rFonts w:ascii="Bookman Old Style" w:eastAsiaTheme="minorHAnsi" w:hAnsi="Bookman Old Style" w:cs="Times#20New#20Roman,Bold"/>
          <w:bCs/>
          <w:szCs w:val="22"/>
          <w:lang w:eastAsia="en-US"/>
        </w:rPr>
        <w:t xml:space="preserve">compatibili, le disposizioni di cui all’articolo 14 del CCNL 22 gennaio </w:t>
      </w:r>
      <w:r w:rsidR="00264E79" w:rsidRPr="001B41BD">
        <w:rPr>
          <w:rFonts w:ascii="Bookman Old Style" w:eastAsiaTheme="minorHAnsi" w:hAnsi="Bookman Old Style" w:cs="TimesNewRomanPS-BoldMT"/>
          <w:bCs/>
          <w:szCs w:val="22"/>
          <w:lang w:eastAsia="en-US"/>
        </w:rPr>
        <w:t>2004 del comparto Regioni-autonomie locali.</w:t>
      </w:r>
      <w:r w:rsidR="00264E79" w:rsidRPr="0047134E">
        <w:rPr>
          <w:rFonts w:ascii="Bookman Old Style" w:hAnsi="Bookman Old Style"/>
          <w:szCs w:val="22"/>
        </w:rPr>
        <w:t xml:space="preserve"> </w:t>
      </w:r>
    </w:p>
    <w:p w:rsidR="00370202" w:rsidRDefault="00370202" w:rsidP="00264E79">
      <w:pPr>
        <w:autoSpaceDE w:val="0"/>
        <w:autoSpaceDN w:val="0"/>
        <w:adjustRightInd w:val="0"/>
        <w:spacing w:line="240" w:lineRule="auto"/>
        <w:ind w:firstLine="0"/>
        <w:rPr>
          <w:rFonts w:ascii="Bookman Old Style" w:hAnsi="Bookman Old Style"/>
          <w:szCs w:val="22"/>
        </w:rPr>
      </w:pPr>
    </w:p>
    <w:p w:rsidR="00264E79" w:rsidRPr="00370202" w:rsidRDefault="00370202" w:rsidP="00370202">
      <w:pPr>
        <w:pStyle w:val="Titolo2"/>
        <w:ind w:firstLine="0"/>
        <w:rPr>
          <w:rFonts w:ascii="Bookman Old Style" w:hAnsi="Bookman Old Style"/>
          <w:b/>
          <w:sz w:val="22"/>
          <w:szCs w:val="22"/>
        </w:rPr>
      </w:pPr>
      <w:bookmarkStart w:id="141" w:name="_Toc533979356"/>
      <w:bookmarkStart w:id="142" w:name="_Toc534028013"/>
      <w:r>
        <w:rPr>
          <w:rFonts w:ascii="Bookman Old Style" w:hAnsi="Bookman Old Style"/>
          <w:b/>
          <w:sz w:val="22"/>
          <w:szCs w:val="22"/>
        </w:rPr>
        <w:t>P</w:t>
      </w:r>
      <w:r w:rsidRPr="00370202">
        <w:rPr>
          <w:rFonts w:ascii="Bookman Old Style" w:hAnsi="Bookman Old Style"/>
          <w:b/>
          <w:sz w:val="22"/>
          <w:szCs w:val="22"/>
        </w:rPr>
        <w:t>rocedure semplificate per reclutamento personale</w:t>
      </w:r>
      <w:bookmarkEnd w:id="141"/>
      <w:bookmarkEnd w:id="142"/>
    </w:p>
    <w:p w:rsidR="00264E79" w:rsidRPr="00370202" w:rsidRDefault="00370202" w:rsidP="00370202">
      <w:pPr>
        <w:spacing w:after="80"/>
        <w:ind w:firstLine="0"/>
        <w:rPr>
          <w:rFonts w:ascii="Bookman Old Style" w:hAnsi="Bookman Old Style"/>
        </w:rPr>
      </w:pPr>
      <w:r w:rsidRPr="00370202">
        <w:rPr>
          <w:rFonts w:ascii="Bookman Old Style" w:hAnsi="Bookman Old Style"/>
        </w:rPr>
        <w:t xml:space="preserve">Il </w:t>
      </w:r>
      <w:r w:rsidRPr="00370202">
        <w:rPr>
          <w:rFonts w:ascii="Bookman Old Style" w:hAnsi="Bookman Old Style"/>
          <w:b/>
        </w:rPr>
        <w:t>comma 360</w:t>
      </w:r>
      <w:r w:rsidR="00264E79" w:rsidRPr="00370202">
        <w:rPr>
          <w:rFonts w:ascii="Bookman Old Style" w:hAnsi="Bookman Old Style"/>
        </w:rPr>
        <w:t xml:space="preserve"> prevede che dal 2019 con decreto del Ministro per la </w:t>
      </w:r>
      <w:r>
        <w:rPr>
          <w:rFonts w:ascii="Bookman Old Style" w:hAnsi="Bookman Old Style"/>
        </w:rPr>
        <w:t>P</w:t>
      </w:r>
      <w:r w:rsidR="00264E79" w:rsidRPr="00370202">
        <w:rPr>
          <w:rFonts w:ascii="Bookman Old Style" w:hAnsi="Bookman Old Style"/>
        </w:rPr>
        <w:t>ubblica amministrazione da adottarsi entro 2 mesi dall’entrata in vigore della legge siano definite modalità semplificate per il reclutamento del personale</w:t>
      </w:r>
      <w:r>
        <w:rPr>
          <w:rFonts w:ascii="Bookman Old Style" w:hAnsi="Bookman Old Style"/>
        </w:rPr>
        <w:t>.</w:t>
      </w:r>
    </w:p>
    <w:p w:rsidR="00370202" w:rsidRDefault="00370202" w:rsidP="00370202">
      <w:pPr>
        <w:pStyle w:val="Titolo2"/>
        <w:ind w:firstLine="0"/>
        <w:rPr>
          <w:rFonts w:ascii="Bookman Old Style" w:hAnsi="Bookman Old Style"/>
          <w:b/>
          <w:sz w:val="22"/>
          <w:szCs w:val="22"/>
        </w:rPr>
      </w:pPr>
    </w:p>
    <w:p w:rsidR="00264E79" w:rsidRPr="00370202" w:rsidRDefault="00370202" w:rsidP="00370202">
      <w:pPr>
        <w:pStyle w:val="Titolo2"/>
        <w:ind w:firstLine="0"/>
        <w:rPr>
          <w:rFonts w:ascii="Bookman Old Style" w:hAnsi="Bookman Old Style"/>
          <w:b/>
          <w:sz w:val="22"/>
          <w:szCs w:val="22"/>
        </w:rPr>
      </w:pPr>
      <w:bookmarkStart w:id="143" w:name="_Toc533979357"/>
      <w:bookmarkStart w:id="144" w:name="_Toc534028014"/>
      <w:r w:rsidRPr="00370202">
        <w:rPr>
          <w:rFonts w:ascii="Bookman Old Style" w:hAnsi="Bookman Old Style"/>
          <w:b/>
          <w:sz w:val="22"/>
          <w:szCs w:val="22"/>
        </w:rPr>
        <w:t>Graduatorie</w:t>
      </w:r>
      <w:bookmarkEnd w:id="143"/>
      <w:bookmarkEnd w:id="144"/>
      <w:r w:rsidRPr="00370202">
        <w:rPr>
          <w:rFonts w:ascii="Bookman Old Style" w:hAnsi="Bookman Old Style"/>
          <w:b/>
          <w:sz w:val="22"/>
          <w:szCs w:val="22"/>
        </w:rPr>
        <w:t xml:space="preserve"> </w:t>
      </w:r>
    </w:p>
    <w:p w:rsidR="00264E79" w:rsidRPr="00370202" w:rsidRDefault="00370202" w:rsidP="00370202">
      <w:pPr>
        <w:spacing w:after="80"/>
        <w:ind w:firstLine="0"/>
        <w:rPr>
          <w:rFonts w:ascii="Bookman Old Style" w:hAnsi="Bookman Old Style"/>
        </w:rPr>
      </w:pPr>
      <w:r w:rsidRPr="00370202">
        <w:rPr>
          <w:rFonts w:ascii="Bookman Old Style" w:hAnsi="Bookman Old Style"/>
        </w:rPr>
        <w:t xml:space="preserve">I </w:t>
      </w:r>
      <w:r w:rsidRPr="00370202">
        <w:rPr>
          <w:rFonts w:ascii="Bookman Old Style" w:hAnsi="Bookman Old Style"/>
          <w:b/>
        </w:rPr>
        <w:t>commi 361-367</w:t>
      </w:r>
      <w:r w:rsidRPr="00370202">
        <w:rPr>
          <w:rFonts w:ascii="Bookman Old Style" w:hAnsi="Bookman Old Style"/>
        </w:rPr>
        <w:t xml:space="preserve"> </w:t>
      </w:r>
      <w:r w:rsidR="00264E79" w:rsidRPr="00370202">
        <w:rPr>
          <w:rFonts w:ascii="Bookman Old Style" w:hAnsi="Bookman Old Style"/>
        </w:rPr>
        <w:t>preved</w:t>
      </w:r>
      <w:r>
        <w:rPr>
          <w:rFonts w:ascii="Bookman Old Style" w:hAnsi="Bookman Old Style"/>
        </w:rPr>
        <w:t>ono</w:t>
      </w:r>
      <w:r w:rsidR="00264E79" w:rsidRPr="00370202">
        <w:rPr>
          <w:rFonts w:ascii="Bookman Old Style" w:hAnsi="Bookman Old Style"/>
        </w:rPr>
        <w:t xml:space="preserve"> che le graduatorie dei concorsi banditi successivamente alla data di entrata in vigore della legge sono utilizzate esclusivamente per la copertura dei posti messi a concorso. Si ribadisce altresì la durata triennale delle graduatorie</w:t>
      </w:r>
      <w:r>
        <w:rPr>
          <w:rFonts w:ascii="Bookman Old Style" w:hAnsi="Bookman Old Style"/>
        </w:rPr>
        <w:t xml:space="preserve"> e s</w:t>
      </w:r>
      <w:r w:rsidR="00264E79" w:rsidRPr="00370202">
        <w:rPr>
          <w:rFonts w:ascii="Bookman Old Style" w:hAnsi="Bookman Old Style"/>
        </w:rPr>
        <w:t>i regola un regime transitori</w:t>
      </w:r>
      <w:r>
        <w:rPr>
          <w:rFonts w:ascii="Bookman Old Style" w:hAnsi="Bookman Old Style"/>
        </w:rPr>
        <w:t>o</w:t>
      </w:r>
      <w:r w:rsidR="00264E79" w:rsidRPr="00370202">
        <w:rPr>
          <w:rFonts w:ascii="Bookman Old Style" w:hAnsi="Bookman Old Style"/>
        </w:rPr>
        <w:t xml:space="preserve"> per la validità delle graduatorie approvate dal 1</w:t>
      </w:r>
      <w:r>
        <w:rPr>
          <w:rFonts w:ascii="Bookman Old Style" w:hAnsi="Bookman Old Style"/>
        </w:rPr>
        <w:t>°</w:t>
      </w:r>
      <w:r w:rsidR="00264E79" w:rsidRPr="00370202">
        <w:rPr>
          <w:rFonts w:ascii="Bookman Old Style" w:hAnsi="Bookman Old Style"/>
        </w:rPr>
        <w:t xml:space="preserve"> gennaio 2010 con tempistiche e requisiti differenti e articolati.</w:t>
      </w:r>
    </w:p>
    <w:p w:rsidR="00264E79" w:rsidRDefault="00264E79" w:rsidP="00264E79">
      <w:pPr>
        <w:autoSpaceDE w:val="0"/>
        <w:autoSpaceDN w:val="0"/>
        <w:adjustRightInd w:val="0"/>
        <w:rPr>
          <w:rFonts w:eastAsiaTheme="minorHAnsi" w:cs="Arial"/>
          <w:b/>
          <w:sz w:val="32"/>
          <w:szCs w:val="32"/>
          <w:u w:val="single"/>
          <w:lang w:eastAsia="en-US"/>
        </w:rPr>
      </w:pPr>
    </w:p>
    <w:p w:rsidR="00264E79" w:rsidRPr="00370202" w:rsidRDefault="00370202" w:rsidP="00370202">
      <w:pPr>
        <w:pStyle w:val="Titolo2"/>
        <w:ind w:firstLine="0"/>
        <w:rPr>
          <w:rFonts w:ascii="Bookman Old Style" w:hAnsi="Bookman Old Style"/>
          <w:b/>
          <w:sz w:val="22"/>
          <w:szCs w:val="22"/>
        </w:rPr>
      </w:pPr>
      <w:bookmarkStart w:id="145" w:name="_Toc533758195"/>
      <w:bookmarkStart w:id="146" w:name="_Toc533979358"/>
      <w:bookmarkStart w:id="147" w:name="_Toc534028015"/>
      <w:r>
        <w:rPr>
          <w:rFonts w:ascii="Bookman Old Style" w:hAnsi="Bookman Old Style"/>
          <w:b/>
          <w:sz w:val="22"/>
          <w:szCs w:val="22"/>
        </w:rPr>
        <w:t>Assunzioni LSU</w:t>
      </w:r>
      <w:bookmarkEnd w:id="145"/>
      <w:bookmarkEnd w:id="146"/>
      <w:bookmarkEnd w:id="147"/>
    </w:p>
    <w:p w:rsidR="00264E79" w:rsidRPr="001B41BD" w:rsidRDefault="00370202" w:rsidP="00370202">
      <w:pPr>
        <w:spacing w:after="80"/>
        <w:ind w:firstLine="0"/>
        <w:rPr>
          <w:rFonts w:ascii="Bookman Old Style" w:hAnsi="Bookman Old Style"/>
        </w:rPr>
      </w:pPr>
      <w:r w:rsidRPr="00370202">
        <w:rPr>
          <w:rFonts w:ascii="Bookman Old Style" w:hAnsi="Bookman Old Style"/>
        </w:rPr>
        <w:t>Il</w:t>
      </w:r>
      <w:r>
        <w:rPr>
          <w:rFonts w:ascii="Bookman Old Style" w:hAnsi="Bookman Old Style"/>
          <w:b/>
        </w:rPr>
        <w:t xml:space="preserve"> comma 446 </w:t>
      </w:r>
      <w:r w:rsidR="00264E79" w:rsidRPr="001B41BD">
        <w:rPr>
          <w:rFonts w:ascii="Bookman Old Style" w:hAnsi="Bookman Old Style"/>
        </w:rPr>
        <w:t xml:space="preserve">stabilisce che nel triennio 2019 – 2021, le amministrazioni pubbliche utilizzatrici dei lavoratori socialmente utili nonché dei lavoratori già rientranti nell’abrogato articolo 7 del decreto legislativo 1° dicembre 1997, n. 468 e dei lavoratori impegnati in attività di pubblica utilità, anche mediante contratti di lavoro a tempo determinato o  contratti di collaborazione coordinata e continuativa nonché mediate altre tipologie contrattuali, </w:t>
      </w:r>
      <w:r w:rsidR="00264E79" w:rsidRPr="001B41BD">
        <w:rPr>
          <w:rFonts w:ascii="Bookman Old Style" w:hAnsi="Bookman Old Style"/>
          <w:b/>
        </w:rPr>
        <w:t>possono procedere all’assunzione a tempo indeterminato dei suddetti lavoratori</w:t>
      </w:r>
      <w:r w:rsidR="00264E79" w:rsidRPr="001B41BD">
        <w:rPr>
          <w:rFonts w:ascii="Bookman Old Style" w:hAnsi="Bookman Old Style"/>
        </w:rPr>
        <w:t>, anche con contratti di lavoro a tempo parziale, nei limiti della dotazione organica e del piano di fabbisogno del personale, nel rispetto di alcune condizioni dettate dalla norma.</w:t>
      </w:r>
      <w:r w:rsidR="00264E79">
        <w:rPr>
          <w:rFonts w:ascii="Bookman Old Style" w:hAnsi="Bookman Old Style"/>
        </w:rPr>
        <w:t xml:space="preserve"> Di particolare rilevanza, la possibilità, nelle more del completamento delle procedure </w:t>
      </w:r>
      <w:proofErr w:type="spellStart"/>
      <w:r w:rsidR="00264E79">
        <w:rPr>
          <w:rFonts w:ascii="Bookman Old Style" w:hAnsi="Bookman Old Style"/>
        </w:rPr>
        <w:t>assunzionali</w:t>
      </w:r>
      <w:proofErr w:type="spellEnd"/>
      <w:r w:rsidR="00264E79">
        <w:rPr>
          <w:rFonts w:ascii="Bookman Old Style" w:hAnsi="Bookman Old Style"/>
        </w:rPr>
        <w:t>, di prorogare sino al 31 ottobre 2019 i contratti a tempo determinato, in deroga alle disposizioni vigenti in materia di termini e percentuali dei contratti flessibili e a valere sulle risorse stanziate per la stabilizzazione.</w:t>
      </w:r>
    </w:p>
    <w:p w:rsidR="00264E79" w:rsidRPr="001B41BD" w:rsidRDefault="00264E79" w:rsidP="00264E79">
      <w:pPr>
        <w:tabs>
          <w:tab w:val="left" w:pos="3285"/>
        </w:tabs>
        <w:spacing w:line="240" w:lineRule="atLeast"/>
        <w:ind w:firstLine="0"/>
        <w:jc w:val="center"/>
        <w:rPr>
          <w:rFonts w:ascii="Bookman Old Style" w:hAnsi="Bookman Old Style"/>
          <w:b/>
        </w:rPr>
      </w:pPr>
    </w:p>
    <w:p w:rsidR="00350856" w:rsidRPr="00350856" w:rsidRDefault="00350856" w:rsidP="00264E79">
      <w:pPr>
        <w:ind w:firstLine="0"/>
        <w:rPr>
          <w:rFonts w:eastAsiaTheme="minorHAnsi"/>
          <w:lang w:eastAsia="en-US"/>
        </w:rPr>
      </w:pPr>
    </w:p>
    <w:p w:rsidR="00350856" w:rsidRPr="00350856" w:rsidRDefault="00350856" w:rsidP="00350856">
      <w:pPr>
        <w:pStyle w:val="Titolo1"/>
        <w:rPr>
          <w:rFonts w:ascii="Bookman Old Style" w:eastAsiaTheme="minorHAnsi" w:hAnsi="Bookman Old Style"/>
          <w:b/>
          <w:sz w:val="24"/>
          <w:szCs w:val="24"/>
          <w:lang w:eastAsia="en-US"/>
        </w:rPr>
      </w:pPr>
      <w:bookmarkStart w:id="148" w:name="_Toc533979359"/>
      <w:bookmarkStart w:id="149" w:name="_Toc534028016"/>
      <w:r w:rsidRPr="00350856">
        <w:rPr>
          <w:rFonts w:ascii="Bookman Old Style" w:eastAsiaTheme="minorHAnsi" w:hAnsi="Bookman Old Style"/>
          <w:b/>
          <w:sz w:val="24"/>
          <w:szCs w:val="24"/>
          <w:lang w:eastAsia="en-US"/>
        </w:rPr>
        <w:t>ALTRE NORME DI INTERESSE DEI COMUNI</w:t>
      </w:r>
      <w:bookmarkEnd w:id="148"/>
      <w:bookmarkEnd w:id="149"/>
      <w:r w:rsidRPr="00350856">
        <w:rPr>
          <w:rFonts w:ascii="Bookman Old Style" w:eastAsiaTheme="minorHAnsi" w:hAnsi="Bookman Old Style"/>
          <w:b/>
          <w:sz w:val="24"/>
          <w:szCs w:val="24"/>
          <w:lang w:eastAsia="en-US"/>
        </w:rPr>
        <w:t xml:space="preserve"> </w:t>
      </w:r>
    </w:p>
    <w:p w:rsidR="00350856" w:rsidRDefault="00350856" w:rsidP="0011415D">
      <w:pPr>
        <w:ind w:firstLine="0"/>
        <w:rPr>
          <w:rFonts w:ascii="Bookman Old Style" w:hAnsi="Bookman Old Style"/>
        </w:rPr>
      </w:pPr>
    </w:p>
    <w:p w:rsidR="00153898" w:rsidRPr="00153898" w:rsidRDefault="00153898" w:rsidP="00153898">
      <w:pPr>
        <w:pStyle w:val="Titolo2"/>
        <w:ind w:firstLine="0"/>
        <w:rPr>
          <w:rFonts w:ascii="Bookman Old Style" w:hAnsi="Bookman Old Style"/>
          <w:b/>
          <w:sz w:val="22"/>
          <w:szCs w:val="22"/>
        </w:rPr>
      </w:pPr>
      <w:bookmarkStart w:id="150" w:name="_Toc533979360"/>
      <w:bookmarkStart w:id="151" w:name="_Toc534028017"/>
      <w:bookmarkStart w:id="152" w:name="_Toc533758197"/>
      <w:proofErr w:type="spellStart"/>
      <w:r w:rsidRPr="00153898">
        <w:rPr>
          <w:rFonts w:ascii="Bookman Old Style" w:hAnsi="Bookman Old Style"/>
          <w:b/>
          <w:sz w:val="22"/>
          <w:szCs w:val="22"/>
        </w:rPr>
        <w:t>PRiU</w:t>
      </w:r>
      <w:bookmarkEnd w:id="150"/>
      <w:bookmarkEnd w:id="151"/>
      <w:proofErr w:type="spellEnd"/>
      <w:r w:rsidRPr="00153898">
        <w:rPr>
          <w:rFonts w:ascii="Bookman Old Style" w:hAnsi="Bookman Old Style"/>
          <w:b/>
          <w:sz w:val="22"/>
          <w:szCs w:val="22"/>
        </w:rPr>
        <w:t xml:space="preserve"> </w:t>
      </w:r>
      <w:bookmarkEnd w:id="152"/>
    </w:p>
    <w:p w:rsidR="00153898" w:rsidRPr="002F359A" w:rsidRDefault="00153898" w:rsidP="005132B6">
      <w:pPr>
        <w:spacing w:after="80"/>
        <w:ind w:firstLine="0"/>
        <w:rPr>
          <w:rFonts w:ascii="Bookman Old Style" w:eastAsiaTheme="majorEastAsia" w:hAnsi="Bookman Old Style" w:cstheme="majorBidi"/>
          <w:b/>
          <w:bCs/>
          <w:color w:val="365F91" w:themeColor="accent1" w:themeShade="BF"/>
          <w:highlight w:val="yellow"/>
        </w:rPr>
      </w:pPr>
      <w:r>
        <w:rPr>
          <w:rFonts w:ascii="Bookman Old Style" w:hAnsi="Bookman Old Style"/>
        </w:rPr>
        <w:t xml:space="preserve">Il </w:t>
      </w:r>
      <w:r>
        <w:rPr>
          <w:rFonts w:ascii="Bookman Old Style" w:hAnsi="Bookman Old Style"/>
          <w:b/>
        </w:rPr>
        <w:t xml:space="preserve">comma 100 </w:t>
      </w:r>
      <w:r>
        <w:rPr>
          <w:rFonts w:ascii="Bookman Old Style" w:hAnsi="Bookman Old Style"/>
        </w:rPr>
        <w:t xml:space="preserve">riguarda i programmi </w:t>
      </w:r>
      <w:proofErr w:type="spellStart"/>
      <w:r>
        <w:rPr>
          <w:rFonts w:ascii="Bookman Old Style" w:hAnsi="Bookman Old Style"/>
        </w:rPr>
        <w:t>PRiU</w:t>
      </w:r>
      <w:proofErr w:type="spellEnd"/>
      <w:r>
        <w:rPr>
          <w:rFonts w:ascii="Bookman Old Style" w:hAnsi="Bookman Old Style"/>
        </w:rPr>
        <w:t xml:space="preserve"> di cui al D.M. 9 settembre 2015 e ha lo scopo di “normare” un consolidato orientamento giurisprudenziale secondo cui i cd. </w:t>
      </w:r>
      <w:r w:rsidRPr="00153898">
        <w:rPr>
          <w:rFonts w:ascii="Bookman Old Style" w:hAnsi="Bookman Old Style"/>
          <w:i/>
        </w:rPr>
        <w:t>fermi cantiere</w:t>
      </w:r>
      <w:r>
        <w:rPr>
          <w:rFonts w:ascii="Bookman Old Style" w:hAnsi="Bookman Old Style"/>
        </w:rPr>
        <w:t xml:space="preserve"> che si registrano per cause indipendenti dal prestatore d’opera o dal committente sono da considerarsi eventi di forza maggiore, comportando uno slittamento dei termini per la realizzazione dell’opera. </w:t>
      </w:r>
    </w:p>
    <w:p w:rsidR="00153898" w:rsidRDefault="00153898" w:rsidP="00153898">
      <w:pPr>
        <w:pStyle w:val="Titolo2"/>
      </w:pPr>
      <w:bookmarkStart w:id="153" w:name="_Toc533758184"/>
    </w:p>
    <w:p w:rsidR="00C05442" w:rsidRPr="00153898" w:rsidRDefault="00C05442" w:rsidP="00C05442">
      <w:pPr>
        <w:pStyle w:val="Titolo2"/>
        <w:ind w:firstLine="0"/>
        <w:rPr>
          <w:rFonts w:ascii="Bookman Old Style" w:hAnsi="Bookman Old Style"/>
          <w:b/>
          <w:sz w:val="22"/>
          <w:szCs w:val="22"/>
        </w:rPr>
      </w:pPr>
      <w:bookmarkStart w:id="154" w:name="_Toc533979361"/>
      <w:bookmarkStart w:id="155" w:name="_Toc534028018"/>
      <w:bookmarkEnd w:id="153"/>
      <w:proofErr w:type="spellStart"/>
      <w:r>
        <w:rPr>
          <w:rFonts w:ascii="Bookman Old Style" w:hAnsi="Bookman Old Style"/>
          <w:b/>
          <w:sz w:val="22"/>
          <w:szCs w:val="22"/>
        </w:rPr>
        <w:t>M</w:t>
      </w:r>
      <w:r w:rsidRPr="00153898">
        <w:rPr>
          <w:rFonts w:ascii="Bookman Old Style" w:hAnsi="Bookman Old Style"/>
          <w:b/>
          <w:sz w:val="22"/>
          <w:szCs w:val="22"/>
        </w:rPr>
        <w:t>icromobilit</w:t>
      </w:r>
      <w:r>
        <w:rPr>
          <w:rFonts w:ascii="Bookman Old Style" w:hAnsi="Bookman Old Style"/>
          <w:b/>
          <w:sz w:val="22"/>
          <w:szCs w:val="22"/>
        </w:rPr>
        <w:t>à</w:t>
      </w:r>
      <w:proofErr w:type="spellEnd"/>
      <w:r w:rsidRPr="00153898">
        <w:rPr>
          <w:rFonts w:ascii="Bookman Old Style" w:hAnsi="Bookman Old Style"/>
          <w:b/>
          <w:sz w:val="22"/>
          <w:szCs w:val="22"/>
        </w:rPr>
        <w:t xml:space="preserve">  comma 102</w:t>
      </w:r>
      <w:bookmarkEnd w:id="154"/>
      <w:bookmarkEnd w:id="155"/>
    </w:p>
    <w:p w:rsidR="00C05442" w:rsidRPr="005132B6" w:rsidRDefault="00C05442" w:rsidP="005132B6">
      <w:pPr>
        <w:ind w:firstLine="0"/>
        <w:rPr>
          <w:rFonts w:ascii="Bookman Old Style" w:hAnsi="Bookman Old Style"/>
          <w:color w:val="000000" w:themeColor="text1"/>
        </w:rPr>
      </w:pPr>
      <w:r w:rsidRPr="005132B6">
        <w:rPr>
          <w:rFonts w:ascii="Bookman Old Style" w:hAnsi="Bookman Old Style"/>
          <w:iCs/>
          <w:szCs w:val="22"/>
        </w:rPr>
        <w:t xml:space="preserve">Il </w:t>
      </w:r>
      <w:r w:rsidRPr="005132B6">
        <w:rPr>
          <w:rFonts w:ascii="Bookman Old Style" w:hAnsi="Bookman Old Style"/>
          <w:b/>
          <w:iCs/>
          <w:szCs w:val="22"/>
        </w:rPr>
        <w:t xml:space="preserve">comma 102 </w:t>
      </w:r>
      <w:r w:rsidRPr="005132B6">
        <w:rPr>
          <w:rFonts w:ascii="Bookman Old Style" w:hAnsi="Bookman Old Style"/>
          <w:color w:val="000000" w:themeColor="text1"/>
        </w:rPr>
        <w:t>intende promuovere l’uso di dispositivi prevalentemente elettrici di mobilità personale (monopattini, mono ruota, ecc.) oggi in corso di veloce diffusione specie nelle grandi città. Si prevede l’adozione entro 30 giorni di un decreto del Ministro Infrastrutture  per la definizione delle modalità  di attuazione degli strumenti operativi della sperimentazione. E’ quanto mai necessario che nella fase attuativa della sperimentazione, il Ministero dei Trasporti condivida con i Comuni e l’ANCI  modalità, tempi e regolazione per l’impatto che ciò ha sulla competenza, le scelte e le politiche delle amministrazioni locali.</w:t>
      </w:r>
    </w:p>
    <w:p w:rsidR="00153898" w:rsidRPr="00B11999" w:rsidRDefault="00153898" w:rsidP="00153898">
      <w:pPr>
        <w:tabs>
          <w:tab w:val="left" w:pos="3285"/>
        </w:tabs>
        <w:spacing w:before="60" w:after="60" w:line="240" w:lineRule="auto"/>
        <w:ind w:firstLine="0"/>
        <w:jc w:val="center"/>
        <w:rPr>
          <w:rFonts w:ascii="Bookman Old Style" w:hAnsi="Bookman Old Style"/>
          <w:iCs/>
          <w:szCs w:val="22"/>
        </w:rPr>
      </w:pPr>
    </w:p>
    <w:p w:rsidR="00C05442" w:rsidRPr="00F97D7F" w:rsidRDefault="00C05442" w:rsidP="00C05442">
      <w:pPr>
        <w:pStyle w:val="Titolo2"/>
        <w:ind w:firstLine="0"/>
        <w:rPr>
          <w:rFonts w:eastAsiaTheme="minorHAnsi"/>
          <w:color w:val="1F497D" w:themeColor="text2"/>
          <w:lang w:eastAsia="en-US"/>
        </w:rPr>
      </w:pPr>
      <w:bookmarkStart w:id="156" w:name="_Toc534028019"/>
      <w:bookmarkStart w:id="157" w:name="_Toc533758198"/>
      <w:bookmarkStart w:id="158" w:name="_Toc533979362"/>
      <w:r w:rsidRPr="00F97D7F">
        <w:rPr>
          <w:rFonts w:ascii="Bookman Old Style" w:hAnsi="Bookman Old Style"/>
          <w:b/>
          <w:color w:val="1F497D" w:themeColor="text2"/>
          <w:sz w:val="22"/>
          <w:szCs w:val="22"/>
        </w:rPr>
        <w:t>I</w:t>
      </w:r>
      <w:r w:rsidR="00153898" w:rsidRPr="00F97D7F">
        <w:rPr>
          <w:rFonts w:ascii="Bookman Old Style" w:hAnsi="Bookman Old Style"/>
          <w:b/>
          <w:color w:val="1F497D" w:themeColor="text2"/>
          <w:sz w:val="22"/>
          <w:szCs w:val="22"/>
        </w:rPr>
        <w:t>ngresso ZTL per auto elettriche o ibride</w:t>
      </w:r>
      <w:bookmarkEnd w:id="156"/>
      <w:r w:rsidR="00153898" w:rsidRPr="00F97D7F">
        <w:rPr>
          <w:rFonts w:ascii="Bookman Old Style" w:hAnsi="Bookman Old Style"/>
          <w:b/>
          <w:color w:val="1F497D" w:themeColor="text2"/>
          <w:sz w:val="22"/>
          <w:szCs w:val="22"/>
        </w:rPr>
        <w:t xml:space="preserve"> </w:t>
      </w:r>
      <w:bookmarkEnd w:id="157"/>
      <w:bookmarkEnd w:id="158"/>
    </w:p>
    <w:p w:rsidR="00153898" w:rsidRDefault="00153898" w:rsidP="00153898">
      <w:pPr>
        <w:spacing w:after="80"/>
        <w:ind w:firstLine="0"/>
        <w:rPr>
          <w:rFonts w:ascii="Bookman Old Style" w:hAnsi="Bookman Old Style"/>
        </w:rPr>
      </w:pPr>
      <w:r>
        <w:rPr>
          <w:rFonts w:ascii="Bookman Old Style" w:hAnsi="Bookman Old Style"/>
        </w:rPr>
        <w:t xml:space="preserve">Il </w:t>
      </w:r>
      <w:r w:rsidRPr="00153898">
        <w:rPr>
          <w:rFonts w:ascii="Bookman Old Style" w:hAnsi="Bookman Old Style"/>
          <w:b/>
        </w:rPr>
        <w:t>comma 103</w:t>
      </w:r>
      <w:r>
        <w:rPr>
          <w:rFonts w:ascii="Bookman Old Style" w:hAnsi="Bookman Old Style"/>
        </w:rPr>
        <w:t xml:space="preserve"> stabilisce che i comuni concedono </w:t>
      </w:r>
      <w:r w:rsidRPr="001B41BD">
        <w:rPr>
          <w:rFonts w:ascii="Bookman Old Style" w:hAnsi="Bookman Old Style"/>
        </w:rPr>
        <w:t>l’ingresso gratuito</w:t>
      </w:r>
      <w:r w:rsidRPr="008E5D8E">
        <w:rPr>
          <w:rFonts w:ascii="Bookman Old Style" w:hAnsi="Bookman Old Style"/>
        </w:rPr>
        <w:t xml:space="preserve"> </w:t>
      </w:r>
      <w:r>
        <w:rPr>
          <w:rFonts w:ascii="Bookman Old Style" w:eastAsiaTheme="minorHAnsi" w:hAnsi="Bookman Old Style" w:cs="TimesNewRomanPS-BoldMT"/>
          <w:bCs/>
          <w:szCs w:val="22"/>
          <w:lang w:eastAsia="en-US"/>
        </w:rPr>
        <w:t>nelle zone a traffico limitato</w:t>
      </w:r>
      <w:r>
        <w:rPr>
          <w:rFonts w:ascii="Bookman Old Style" w:hAnsi="Bookman Old Style"/>
        </w:rPr>
        <w:t xml:space="preserve"> </w:t>
      </w:r>
      <w:r w:rsidRPr="001B41BD">
        <w:rPr>
          <w:rFonts w:ascii="Bookman Old Style" w:hAnsi="Bookman Old Style"/>
        </w:rPr>
        <w:t xml:space="preserve">ai veicoli </w:t>
      </w:r>
      <w:r>
        <w:rPr>
          <w:rFonts w:ascii="Bookman Old Style" w:eastAsiaTheme="minorHAnsi" w:hAnsi="Bookman Old Style" w:cs="TimesNewRomanPS-BoldMT"/>
          <w:bCs/>
          <w:szCs w:val="22"/>
          <w:lang w:eastAsia="en-US"/>
        </w:rPr>
        <w:t>propulsione elettrica o ibrida</w:t>
      </w:r>
      <w:r>
        <w:rPr>
          <w:rFonts w:ascii="Bookman Old Style" w:hAnsi="Bookman Old Style"/>
        </w:rPr>
        <w:t>.</w:t>
      </w:r>
    </w:p>
    <w:p w:rsidR="007D3519" w:rsidRPr="00B15E57" w:rsidRDefault="00E26CCE" w:rsidP="005132B6">
      <w:pPr>
        <w:shd w:val="clear" w:color="auto" w:fill="FFFFFF"/>
        <w:ind w:firstLine="0"/>
        <w:rPr>
          <w:rFonts w:ascii="Bookman Old Style" w:hAnsi="Bookman Old Style" w:cs="Arial"/>
          <w:color w:val="222222"/>
          <w:szCs w:val="22"/>
          <w:lang w:eastAsia="fr-FR"/>
        </w:rPr>
      </w:pPr>
      <w:r w:rsidRPr="00B15E57">
        <w:rPr>
          <w:rFonts w:ascii="Bookman Old Style" w:hAnsi="Bookman Old Style" w:cs="Arial"/>
          <w:color w:val="222222"/>
          <w:szCs w:val="22"/>
          <w:lang w:eastAsia="fr-FR"/>
        </w:rPr>
        <w:t xml:space="preserve">Tale </w:t>
      </w:r>
      <w:r w:rsidR="00DC3430" w:rsidRPr="00B15E57">
        <w:rPr>
          <w:rFonts w:ascii="Bookman Old Style" w:hAnsi="Bookman Old Style" w:cs="Arial"/>
          <w:color w:val="222222"/>
          <w:szCs w:val="22"/>
          <w:lang w:eastAsia="fr-FR"/>
        </w:rPr>
        <w:t>misur</w:t>
      </w:r>
      <w:r w:rsidR="009E260C">
        <w:rPr>
          <w:rFonts w:ascii="Bookman Old Style" w:hAnsi="Bookman Old Style" w:cs="Arial"/>
          <w:color w:val="222222"/>
          <w:szCs w:val="22"/>
          <w:lang w:eastAsia="fr-FR"/>
        </w:rPr>
        <w:t>a</w:t>
      </w:r>
      <w:r w:rsidRPr="00B15E57">
        <w:rPr>
          <w:rFonts w:ascii="Bookman Old Style" w:hAnsi="Bookman Old Style" w:cs="Arial"/>
          <w:color w:val="222222"/>
          <w:szCs w:val="22"/>
          <w:lang w:eastAsia="fr-FR"/>
        </w:rPr>
        <w:t xml:space="preserve"> incide sull’autonomia regolamentare comunale, non tenendo in dovuta considerazione le politiche volte in particolare a liberare alcuni centri storici dalle auto private. Pur apprezzandone la finalità, bisognerà verificare l’estensione a</w:t>
      </w:r>
      <w:r w:rsidR="007D3519" w:rsidRPr="00B15E57">
        <w:rPr>
          <w:rFonts w:ascii="Bookman Old Style" w:hAnsi="Bookman Old Style" w:cs="Arial"/>
          <w:color w:val="222222"/>
          <w:szCs w:val="22"/>
          <w:lang w:eastAsia="fr-FR"/>
        </w:rPr>
        <w:t xml:space="preserve"> tutte le tipologie a ridotto impatto ambien</w:t>
      </w:r>
      <w:r w:rsidRPr="00B15E57">
        <w:rPr>
          <w:rFonts w:ascii="Bookman Old Style" w:hAnsi="Bookman Old Style" w:cs="Arial"/>
          <w:color w:val="222222"/>
          <w:szCs w:val="22"/>
          <w:lang w:eastAsia="fr-FR"/>
        </w:rPr>
        <w:t>tale così come definite nel rece</w:t>
      </w:r>
      <w:r w:rsidR="007D3519" w:rsidRPr="00B15E57">
        <w:rPr>
          <w:rFonts w:ascii="Bookman Old Style" w:hAnsi="Bookman Old Style" w:cs="Arial"/>
          <w:color w:val="222222"/>
          <w:szCs w:val="22"/>
          <w:lang w:eastAsia="fr-FR"/>
        </w:rPr>
        <w:t>pimento della dir</w:t>
      </w:r>
      <w:r w:rsidRPr="00B15E57">
        <w:rPr>
          <w:rFonts w:ascii="Bookman Old Style" w:hAnsi="Bookman Old Style" w:cs="Arial"/>
          <w:color w:val="222222"/>
          <w:szCs w:val="22"/>
          <w:lang w:eastAsia="fr-FR"/>
        </w:rPr>
        <w:t xml:space="preserve">ettiva </w:t>
      </w:r>
      <w:proofErr w:type="spellStart"/>
      <w:r w:rsidRPr="00B15E57">
        <w:rPr>
          <w:rFonts w:ascii="Bookman Old Style" w:hAnsi="Bookman Old Style" w:cs="Arial"/>
          <w:color w:val="222222"/>
          <w:szCs w:val="22"/>
          <w:lang w:eastAsia="fr-FR"/>
        </w:rPr>
        <w:t>Dafi</w:t>
      </w:r>
      <w:proofErr w:type="spellEnd"/>
      <w:r w:rsidRPr="00B15E57">
        <w:rPr>
          <w:rFonts w:ascii="Bookman Old Style" w:hAnsi="Bookman Old Style" w:cs="Arial"/>
          <w:color w:val="222222"/>
          <w:szCs w:val="22"/>
          <w:lang w:eastAsia="fr-FR"/>
        </w:rPr>
        <w:t>.</w:t>
      </w:r>
      <w:r w:rsidR="007D3519" w:rsidRPr="00B15E57">
        <w:rPr>
          <w:rFonts w:ascii="Bookman Old Style" w:hAnsi="Bookman Old Style" w:cs="Arial"/>
          <w:color w:val="222222"/>
          <w:szCs w:val="22"/>
          <w:lang w:eastAsia="fr-FR"/>
        </w:rPr>
        <w:t xml:space="preserve"> </w:t>
      </w:r>
    </w:p>
    <w:p w:rsidR="00153898" w:rsidRPr="00B15E57" w:rsidRDefault="00153898" w:rsidP="00153898">
      <w:pPr>
        <w:pStyle w:val="Titolo2"/>
        <w:rPr>
          <w:rFonts w:ascii="Bookman Old Style" w:eastAsiaTheme="minorHAnsi" w:hAnsi="Bookman Old Style"/>
          <w:sz w:val="22"/>
          <w:szCs w:val="22"/>
          <w:lang w:eastAsia="en-US"/>
        </w:rPr>
      </w:pPr>
      <w:bookmarkStart w:id="159" w:name="_Toc533758199"/>
    </w:p>
    <w:p w:rsidR="00153898" w:rsidRPr="00153898" w:rsidRDefault="00153898" w:rsidP="00153898">
      <w:pPr>
        <w:pStyle w:val="Titolo2"/>
        <w:ind w:firstLine="0"/>
        <w:rPr>
          <w:rFonts w:ascii="Bookman Old Style" w:hAnsi="Bookman Old Style"/>
          <w:b/>
          <w:sz w:val="22"/>
          <w:szCs w:val="22"/>
        </w:rPr>
      </w:pPr>
      <w:bookmarkStart w:id="160" w:name="_Toc533979363"/>
      <w:bookmarkStart w:id="161" w:name="_Toc534028020"/>
      <w:r>
        <w:rPr>
          <w:rFonts w:ascii="Bookman Old Style" w:hAnsi="Bookman Old Style"/>
          <w:b/>
          <w:sz w:val="22"/>
          <w:szCs w:val="22"/>
        </w:rPr>
        <w:t>S</w:t>
      </w:r>
      <w:r w:rsidRPr="00153898">
        <w:rPr>
          <w:rFonts w:ascii="Bookman Old Style" w:hAnsi="Bookman Old Style"/>
          <w:b/>
          <w:sz w:val="22"/>
          <w:szCs w:val="22"/>
        </w:rPr>
        <w:t>tanziamento per autostrade ciclabili</w:t>
      </w:r>
      <w:bookmarkEnd w:id="160"/>
      <w:bookmarkEnd w:id="161"/>
      <w:r w:rsidRPr="00153898">
        <w:rPr>
          <w:rFonts w:ascii="Bookman Old Style" w:hAnsi="Bookman Old Style"/>
          <w:b/>
          <w:sz w:val="22"/>
          <w:szCs w:val="22"/>
        </w:rPr>
        <w:t xml:space="preserve"> </w:t>
      </w:r>
      <w:bookmarkEnd w:id="159"/>
    </w:p>
    <w:p w:rsidR="00153898" w:rsidRPr="001B41BD" w:rsidRDefault="00153898" w:rsidP="00153898">
      <w:pPr>
        <w:spacing w:after="80"/>
        <w:ind w:firstLine="0"/>
        <w:rPr>
          <w:rFonts w:ascii="TimesNewRomanPSMT" w:eastAsiaTheme="minorHAnsi" w:hAnsi="TimesNewRomanPSMT" w:cs="TimesNewRomanPSMT"/>
          <w:szCs w:val="22"/>
          <w:lang w:eastAsia="en-US"/>
        </w:rPr>
      </w:pPr>
      <w:r>
        <w:rPr>
          <w:rFonts w:ascii="Bookman Old Style" w:hAnsi="Bookman Old Style"/>
        </w:rPr>
        <w:t xml:space="preserve">Il </w:t>
      </w:r>
      <w:r>
        <w:rPr>
          <w:rFonts w:ascii="Bookman Old Style" w:hAnsi="Bookman Old Style"/>
          <w:b/>
        </w:rPr>
        <w:t xml:space="preserve">comma 104 </w:t>
      </w:r>
      <w:r w:rsidRPr="001B41BD">
        <w:rPr>
          <w:rFonts w:ascii="Bookman Old Style" w:hAnsi="Bookman Old Style"/>
        </w:rPr>
        <w:t>istituisce</w:t>
      </w:r>
      <w:r>
        <w:rPr>
          <w:rFonts w:ascii="Bookman Old Style" w:hAnsi="Bookman Old Style"/>
        </w:rPr>
        <w:t xml:space="preserve"> </w:t>
      </w:r>
      <w:r w:rsidRPr="001B41BD">
        <w:rPr>
          <w:rFonts w:ascii="Bookman Old Style" w:eastAsiaTheme="minorHAnsi" w:hAnsi="Bookman Old Style" w:cs="TimesNewRomanPSMT"/>
          <w:szCs w:val="22"/>
          <w:lang w:eastAsia="en-US"/>
        </w:rPr>
        <w:t>un Fondo per</w:t>
      </w:r>
      <w:r>
        <w:rPr>
          <w:rFonts w:ascii="Bookman Old Style" w:eastAsiaTheme="minorHAnsi" w:hAnsi="Bookman Old Style" w:cs="TimesNewRomanPSMT"/>
          <w:szCs w:val="22"/>
          <w:lang w:eastAsia="en-US"/>
        </w:rPr>
        <w:t xml:space="preserve"> finanziare interventi di progettazione di </w:t>
      </w:r>
      <w:r w:rsidRPr="001B41BD">
        <w:rPr>
          <w:rFonts w:ascii="Bookman Old Style" w:eastAsiaTheme="minorHAnsi" w:hAnsi="Bookman Old Style" w:cs="TimesNewRomanPSMT"/>
          <w:szCs w:val="22"/>
          <w:lang w:eastAsia="en-US"/>
        </w:rPr>
        <w:t xml:space="preserve">autostrade ciclabili con </w:t>
      </w:r>
      <w:r w:rsidRPr="001B41BD">
        <w:rPr>
          <w:rFonts w:ascii="Bookman Old Style" w:eastAsiaTheme="minorHAnsi" w:hAnsi="Bookman Old Style" w:cs="Times#20New#20Roman"/>
          <w:szCs w:val="22"/>
          <w:lang w:eastAsia="en-US"/>
        </w:rPr>
        <w:t>uno stanziamento di 2 milioni di euro per l’anno 2019.</w:t>
      </w:r>
      <w:r>
        <w:rPr>
          <w:rFonts w:ascii="Bookman Old Style" w:eastAsiaTheme="minorHAnsi" w:hAnsi="Bookman Old Style" w:cs="Times#20New#20Roman"/>
          <w:szCs w:val="22"/>
          <w:lang w:eastAsia="en-US"/>
        </w:rPr>
        <w:t xml:space="preserve"> </w:t>
      </w:r>
      <w:r w:rsidRPr="001B41BD">
        <w:rPr>
          <w:rFonts w:ascii="Bookman Old Style" w:hAnsi="Bookman Old Style"/>
        </w:rPr>
        <w:t>, a</w:t>
      </w:r>
      <w:r w:rsidRPr="001B41BD">
        <w:rPr>
          <w:rFonts w:ascii="Bookman Old Style" w:eastAsiaTheme="minorHAnsi" w:hAnsi="Bookman Old Style" w:cs="TimesNewRomanPSMT"/>
          <w:szCs w:val="22"/>
          <w:lang w:eastAsia="en-US"/>
        </w:rPr>
        <w:t xml:space="preserve">llo scopo di finanziare interventi finalizzati alla progettazione delle autostrade ciclabili, </w:t>
      </w:r>
      <w:r w:rsidRPr="001B41BD">
        <w:rPr>
          <w:rFonts w:ascii="Bookman Old Style" w:eastAsiaTheme="minorHAnsi" w:hAnsi="Bookman Old Style" w:cs="Times#20New#20Roman"/>
          <w:szCs w:val="22"/>
          <w:lang w:eastAsia="en-US"/>
        </w:rPr>
        <w:t xml:space="preserve"> Con decreto del </w:t>
      </w:r>
      <w:r w:rsidRPr="001B41BD">
        <w:rPr>
          <w:rFonts w:ascii="Bookman Old Style" w:eastAsiaTheme="minorHAnsi" w:hAnsi="Bookman Old Style" w:cs="TimesNewRomanPSMT"/>
          <w:szCs w:val="22"/>
          <w:lang w:eastAsia="en-US"/>
        </w:rPr>
        <w:t>Ministro delle infrastrutture e dei trasporti, da emanare entro 90 giorni, sono definite le modalità di erogazione delle risorse del predetto Fondo, nonché le modalità di verifica e controllo dell'effettivo utilizzo da parte degli enti territoriali delle risorse erogate per le finalità di cui al medesimo comma</w:t>
      </w:r>
      <w:r w:rsidRPr="001B41BD">
        <w:rPr>
          <w:rFonts w:ascii="TimesNewRomanPSMT" w:eastAsiaTheme="minorHAnsi" w:hAnsi="TimesNewRomanPSMT" w:cs="TimesNewRomanPSMT"/>
          <w:szCs w:val="22"/>
          <w:lang w:eastAsia="en-US"/>
        </w:rPr>
        <w:t xml:space="preserve">. </w:t>
      </w:r>
    </w:p>
    <w:p w:rsidR="00153898" w:rsidRDefault="00153898" w:rsidP="00153898">
      <w:pPr>
        <w:autoSpaceDE w:val="0"/>
        <w:autoSpaceDN w:val="0"/>
        <w:adjustRightInd w:val="0"/>
        <w:spacing w:line="240" w:lineRule="auto"/>
        <w:ind w:firstLine="0"/>
        <w:jc w:val="left"/>
        <w:rPr>
          <w:rFonts w:ascii="Bookman Old Style" w:hAnsi="Bookman Old Style"/>
          <w:b/>
          <w:iCs/>
          <w:szCs w:val="22"/>
        </w:rPr>
      </w:pPr>
    </w:p>
    <w:p w:rsidR="00153898" w:rsidRPr="002626DD" w:rsidRDefault="002626DD" w:rsidP="00153898">
      <w:pPr>
        <w:pStyle w:val="Titolo2"/>
        <w:ind w:firstLine="0"/>
        <w:rPr>
          <w:rFonts w:ascii="Bookman Old Style" w:hAnsi="Bookman Old Style"/>
          <w:b/>
          <w:sz w:val="22"/>
          <w:szCs w:val="22"/>
        </w:rPr>
      </w:pPr>
      <w:bookmarkStart w:id="162" w:name="_Toc533758196"/>
      <w:bookmarkStart w:id="163" w:name="_Toc533979364"/>
      <w:bookmarkStart w:id="164" w:name="_Toc534028021"/>
      <w:r>
        <w:rPr>
          <w:rFonts w:ascii="Bookman Old Style" w:hAnsi="Bookman Old Style"/>
          <w:b/>
          <w:sz w:val="22"/>
          <w:szCs w:val="22"/>
        </w:rPr>
        <w:t>C</w:t>
      </w:r>
      <w:r w:rsidRPr="002626DD">
        <w:rPr>
          <w:rFonts w:ascii="Bookman Old Style" w:hAnsi="Bookman Old Style"/>
          <w:b/>
          <w:sz w:val="22"/>
          <w:szCs w:val="22"/>
        </w:rPr>
        <w:t>oncessioni demaniali</w:t>
      </w:r>
      <w:bookmarkEnd w:id="162"/>
      <w:bookmarkEnd w:id="163"/>
      <w:bookmarkEnd w:id="164"/>
    </w:p>
    <w:p w:rsidR="00153898" w:rsidRPr="001B41BD" w:rsidRDefault="002626DD" w:rsidP="002626DD">
      <w:pPr>
        <w:spacing w:after="80"/>
        <w:ind w:firstLine="0"/>
        <w:rPr>
          <w:rFonts w:ascii="Bookman Old Style" w:hAnsi="Bookman Old Style"/>
        </w:rPr>
      </w:pPr>
      <w:r w:rsidRPr="002626DD">
        <w:rPr>
          <w:rFonts w:ascii="Bookman Old Style" w:hAnsi="Bookman Old Style"/>
        </w:rPr>
        <w:t xml:space="preserve">Il </w:t>
      </w:r>
      <w:r w:rsidRPr="002626DD">
        <w:rPr>
          <w:rFonts w:ascii="Bookman Old Style" w:hAnsi="Bookman Old Style"/>
          <w:b/>
        </w:rPr>
        <w:t>comma 675</w:t>
      </w:r>
      <w:r w:rsidRPr="002626DD">
        <w:rPr>
          <w:rFonts w:ascii="Bookman Old Style" w:hAnsi="Bookman Old Style"/>
        </w:rPr>
        <w:t xml:space="preserve"> </w:t>
      </w:r>
      <w:r w:rsidR="00153898" w:rsidRPr="001B41BD">
        <w:rPr>
          <w:rFonts w:ascii="Bookman Old Style" w:hAnsi="Bookman Old Style"/>
        </w:rPr>
        <w:t>proroga le concessioni balneari di 15 anni.</w:t>
      </w:r>
      <w:r w:rsidR="00153898">
        <w:rPr>
          <w:rFonts w:ascii="Bookman Old Style" w:hAnsi="Bookman Old Style"/>
        </w:rPr>
        <w:t xml:space="preserve"> Dispone l’emanazione entro 120 giorni di un </w:t>
      </w:r>
      <w:r>
        <w:rPr>
          <w:rFonts w:ascii="Bookman Old Style" w:hAnsi="Bookman Old Style"/>
        </w:rPr>
        <w:t xml:space="preserve">DPCM </w:t>
      </w:r>
      <w:r w:rsidR="00153898">
        <w:rPr>
          <w:rFonts w:ascii="Bookman Old Style" w:hAnsi="Bookman Old Style"/>
        </w:rPr>
        <w:t xml:space="preserve">che fissi i termini e le modalità per la generale revisione del sistema delle concessioni demaniali marittime. Si ricorda che in questa materia altra norma consente ai titolari di concessioni demaniali marittime </w:t>
      </w:r>
      <w:r>
        <w:rPr>
          <w:rFonts w:ascii="Bookman Old Style" w:hAnsi="Bookman Old Style"/>
        </w:rPr>
        <w:t xml:space="preserve">e </w:t>
      </w:r>
      <w:r w:rsidR="00153898">
        <w:rPr>
          <w:rFonts w:ascii="Bookman Old Style" w:hAnsi="Bookman Old Style"/>
        </w:rPr>
        <w:t>punti di approdo di mantenere installati manufatti amovibili fino al 31 dicembre 2020.</w:t>
      </w:r>
    </w:p>
    <w:p w:rsidR="00153898" w:rsidRDefault="00153898" w:rsidP="00153898">
      <w:pPr>
        <w:tabs>
          <w:tab w:val="left" w:pos="3285"/>
        </w:tabs>
        <w:spacing w:before="60" w:after="60" w:line="240" w:lineRule="auto"/>
        <w:ind w:firstLine="0"/>
        <w:rPr>
          <w:rFonts w:ascii="Bookman Old Style" w:hAnsi="Bookman Old Style"/>
        </w:rPr>
      </w:pPr>
    </w:p>
    <w:p w:rsidR="00153898" w:rsidRPr="002626DD" w:rsidRDefault="002626DD" w:rsidP="002626DD">
      <w:pPr>
        <w:pStyle w:val="Titolo2"/>
        <w:ind w:firstLine="0"/>
        <w:rPr>
          <w:rFonts w:ascii="Bookman Old Style" w:hAnsi="Bookman Old Style"/>
          <w:b/>
          <w:sz w:val="22"/>
          <w:szCs w:val="22"/>
        </w:rPr>
      </w:pPr>
      <w:bookmarkStart w:id="165" w:name="_Toc533979365"/>
      <w:bookmarkStart w:id="166" w:name="_Toc534028022"/>
      <w:r w:rsidRPr="002626DD">
        <w:rPr>
          <w:rFonts w:ascii="Bookman Old Style" w:hAnsi="Bookman Old Style"/>
          <w:b/>
          <w:sz w:val="22"/>
          <w:szCs w:val="22"/>
        </w:rPr>
        <w:t xml:space="preserve">Deroga </w:t>
      </w:r>
      <w:proofErr w:type="spellStart"/>
      <w:r w:rsidRPr="002626DD">
        <w:rPr>
          <w:rFonts w:ascii="Bookman Old Style" w:hAnsi="Bookman Old Style"/>
          <w:b/>
          <w:sz w:val="22"/>
          <w:szCs w:val="22"/>
        </w:rPr>
        <w:t>Bolkestein</w:t>
      </w:r>
      <w:proofErr w:type="spellEnd"/>
      <w:r w:rsidRPr="002626DD">
        <w:rPr>
          <w:rFonts w:ascii="Bookman Old Style" w:hAnsi="Bookman Old Style"/>
          <w:b/>
          <w:sz w:val="22"/>
          <w:szCs w:val="22"/>
        </w:rPr>
        <w:t xml:space="preserve"> per commercio su aree pubbliche</w:t>
      </w:r>
      <w:bookmarkEnd w:id="165"/>
      <w:bookmarkEnd w:id="166"/>
    </w:p>
    <w:p w:rsidR="00153898" w:rsidRDefault="002626DD" w:rsidP="00153898">
      <w:pPr>
        <w:tabs>
          <w:tab w:val="left" w:pos="3285"/>
        </w:tabs>
        <w:spacing w:before="60" w:after="60" w:line="240" w:lineRule="auto"/>
        <w:ind w:firstLine="0"/>
        <w:rPr>
          <w:rFonts w:ascii="Bookman Old Style" w:hAnsi="Bookman Old Style"/>
        </w:rPr>
      </w:pPr>
      <w:r>
        <w:rPr>
          <w:rFonts w:ascii="Bookman Old Style" w:hAnsi="Bookman Old Style"/>
        </w:rPr>
        <w:t xml:space="preserve">Il </w:t>
      </w:r>
      <w:r>
        <w:rPr>
          <w:rFonts w:ascii="Bookman Old Style" w:hAnsi="Bookman Old Style"/>
          <w:b/>
        </w:rPr>
        <w:t xml:space="preserve">comma 686 </w:t>
      </w:r>
      <w:r w:rsidR="00153898">
        <w:rPr>
          <w:rFonts w:ascii="Bookman Old Style" w:hAnsi="Bookman Old Style"/>
        </w:rPr>
        <w:t xml:space="preserve">esclude il commercio al dettaglio su aree pubbliche dall’ambito di applicazione della direttiva </w:t>
      </w:r>
      <w:r>
        <w:rPr>
          <w:rFonts w:ascii="Bookman Old Style" w:hAnsi="Bookman Old Style"/>
        </w:rPr>
        <w:t xml:space="preserve">UE </w:t>
      </w:r>
      <w:r w:rsidR="00153898">
        <w:rPr>
          <w:rFonts w:ascii="Bookman Old Style" w:hAnsi="Bookman Old Style"/>
        </w:rPr>
        <w:t xml:space="preserve">cd </w:t>
      </w:r>
      <w:r>
        <w:rPr>
          <w:rFonts w:ascii="Bookman Old Style" w:hAnsi="Bookman Old Style"/>
        </w:rPr>
        <w:t>“</w:t>
      </w:r>
      <w:proofErr w:type="spellStart"/>
      <w:r w:rsidR="00153898">
        <w:rPr>
          <w:rFonts w:ascii="Bookman Old Style" w:hAnsi="Bookman Old Style"/>
        </w:rPr>
        <w:t>Bolkestein</w:t>
      </w:r>
      <w:proofErr w:type="spellEnd"/>
      <w:r>
        <w:rPr>
          <w:rFonts w:ascii="Bookman Old Style" w:hAnsi="Bookman Old Style"/>
        </w:rPr>
        <w:t>”</w:t>
      </w:r>
    </w:p>
    <w:p w:rsidR="00153898" w:rsidRDefault="00153898" w:rsidP="00153898">
      <w:pPr>
        <w:tabs>
          <w:tab w:val="left" w:pos="3285"/>
        </w:tabs>
        <w:spacing w:before="60" w:after="60" w:line="240" w:lineRule="auto"/>
        <w:ind w:firstLine="0"/>
        <w:rPr>
          <w:rFonts w:ascii="Bookman Old Style" w:hAnsi="Bookman Old Style"/>
        </w:rPr>
      </w:pPr>
    </w:p>
    <w:p w:rsidR="00153898" w:rsidRPr="002626DD" w:rsidRDefault="002626DD" w:rsidP="002626DD">
      <w:pPr>
        <w:pStyle w:val="Titolo2"/>
        <w:ind w:firstLine="0"/>
        <w:rPr>
          <w:rFonts w:ascii="Bookman Old Style" w:hAnsi="Bookman Old Style"/>
          <w:b/>
          <w:sz w:val="22"/>
          <w:szCs w:val="22"/>
        </w:rPr>
      </w:pPr>
      <w:bookmarkStart w:id="167" w:name="_Toc533979366"/>
      <w:bookmarkStart w:id="168" w:name="_Toc534028023"/>
      <w:r w:rsidRPr="00352CBF">
        <w:rPr>
          <w:rFonts w:ascii="Bookman Old Style" w:hAnsi="Bookman Old Style"/>
          <w:b/>
          <w:sz w:val="22"/>
          <w:szCs w:val="22"/>
        </w:rPr>
        <w:t>Esclusione delle società controllate da società quotate in borsa dell’obbligo dei piani di razionalizzazione</w:t>
      </w:r>
      <w:bookmarkEnd w:id="167"/>
      <w:bookmarkEnd w:id="168"/>
      <w:r w:rsidRPr="00352CBF">
        <w:rPr>
          <w:rFonts w:ascii="Bookman Old Style" w:hAnsi="Bookman Old Style"/>
          <w:b/>
          <w:sz w:val="22"/>
          <w:szCs w:val="22"/>
        </w:rPr>
        <w:t xml:space="preserve"> </w:t>
      </w:r>
    </w:p>
    <w:p w:rsidR="00352CBF" w:rsidRDefault="00352CBF" w:rsidP="00352CBF">
      <w:pPr>
        <w:spacing w:after="80"/>
        <w:ind w:firstLine="0"/>
        <w:rPr>
          <w:rFonts w:ascii="Bookman Old Style" w:hAnsi="Bookman Old Style"/>
        </w:rPr>
      </w:pPr>
      <w:r w:rsidRPr="002626DD">
        <w:rPr>
          <w:rFonts w:ascii="Bookman Old Style" w:hAnsi="Bookman Old Style"/>
        </w:rPr>
        <w:t xml:space="preserve">Il </w:t>
      </w:r>
      <w:r w:rsidRPr="002626DD">
        <w:rPr>
          <w:rFonts w:ascii="Bookman Old Style" w:hAnsi="Bookman Old Style"/>
          <w:b/>
        </w:rPr>
        <w:t>comma 724</w:t>
      </w:r>
      <w:r>
        <w:rPr>
          <w:rFonts w:ascii="Bookman Old Style" w:hAnsi="Bookman Old Style"/>
        </w:rPr>
        <w:t xml:space="preserve">  esclude dall’ambito di applicazione dell’articolo 20 del decreto legislativo n. 175/2016 e </w:t>
      </w:r>
      <w:proofErr w:type="spellStart"/>
      <w:r>
        <w:rPr>
          <w:rFonts w:ascii="Bookman Old Style" w:hAnsi="Bookman Old Style"/>
        </w:rPr>
        <w:t>ssmmii</w:t>
      </w:r>
      <w:proofErr w:type="spellEnd"/>
      <w:r>
        <w:rPr>
          <w:rFonts w:ascii="Bookman Old Style" w:hAnsi="Bookman Old Style"/>
        </w:rPr>
        <w:t xml:space="preserve"> le società controllate da società pubbliche quotate in borsa. </w:t>
      </w:r>
    </w:p>
    <w:p w:rsidR="002626DD" w:rsidRDefault="002626DD" w:rsidP="00153898">
      <w:pPr>
        <w:tabs>
          <w:tab w:val="left" w:pos="3285"/>
        </w:tabs>
        <w:spacing w:before="60" w:after="60" w:line="240" w:lineRule="auto"/>
        <w:ind w:firstLine="0"/>
        <w:rPr>
          <w:rFonts w:ascii="Bookman Old Style" w:hAnsi="Bookman Old Style"/>
          <w:color w:val="4F81BD" w:themeColor="accent1"/>
        </w:rPr>
      </w:pPr>
    </w:p>
    <w:p w:rsidR="009E260C" w:rsidRPr="006537DF" w:rsidRDefault="006537DF" w:rsidP="009E260C">
      <w:pPr>
        <w:pStyle w:val="Titolo2"/>
        <w:ind w:firstLine="0"/>
        <w:rPr>
          <w:rFonts w:ascii="Bookman Old Style" w:hAnsi="Bookman Old Style"/>
          <w:b/>
          <w:sz w:val="22"/>
          <w:szCs w:val="22"/>
        </w:rPr>
      </w:pPr>
      <w:bookmarkStart w:id="169" w:name="_Toc534028024"/>
      <w:bookmarkStart w:id="170" w:name="_Toc533979368"/>
      <w:r>
        <w:rPr>
          <w:rFonts w:ascii="Bookman Old Style" w:hAnsi="Bookman Old Style"/>
          <w:b/>
          <w:sz w:val="22"/>
          <w:szCs w:val="22"/>
        </w:rPr>
        <w:t>I</w:t>
      </w:r>
      <w:r w:rsidRPr="006537DF">
        <w:rPr>
          <w:rFonts w:ascii="Bookman Old Style" w:hAnsi="Bookman Old Style"/>
          <w:b/>
          <w:sz w:val="22"/>
          <w:szCs w:val="22"/>
        </w:rPr>
        <w:t>mpianti alimentati da rinnovabili</w:t>
      </w:r>
      <w:bookmarkEnd w:id="169"/>
      <w:r w:rsidRPr="006537DF">
        <w:rPr>
          <w:rFonts w:ascii="Bookman Old Style" w:hAnsi="Bookman Old Style"/>
          <w:b/>
          <w:sz w:val="22"/>
          <w:szCs w:val="22"/>
        </w:rPr>
        <w:t xml:space="preserve">  </w:t>
      </w:r>
    </w:p>
    <w:p w:rsidR="004B0604" w:rsidRPr="00A16DBD" w:rsidRDefault="009F656B" w:rsidP="004B0604">
      <w:pPr>
        <w:pStyle w:val="NormaleWeb"/>
        <w:spacing w:before="60" w:beforeAutospacing="0" w:after="60" w:afterAutospacing="0"/>
        <w:jc w:val="both"/>
        <w:rPr>
          <w:rFonts w:ascii="Bookman Old Style" w:hAnsi="Bookman Old Style" w:cs="Arial"/>
          <w:sz w:val="22"/>
          <w:szCs w:val="22"/>
        </w:rPr>
      </w:pPr>
      <w:r>
        <w:rPr>
          <w:rFonts w:ascii="Bookman Old Style" w:hAnsi="Bookman Old Style" w:cs="Arial"/>
          <w:iCs/>
          <w:sz w:val="22"/>
          <w:szCs w:val="22"/>
        </w:rPr>
        <w:t xml:space="preserve">Il </w:t>
      </w:r>
      <w:r w:rsidR="006537DF" w:rsidRPr="006537DF">
        <w:rPr>
          <w:rFonts w:ascii="Bookman Old Style" w:hAnsi="Bookman Old Style"/>
          <w:b/>
          <w:sz w:val="22"/>
          <w:szCs w:val="22"/>
        </w:rPr>
        <w:t>comma 953</w:t>
      </w:r>
      <w:bookmarkEnd w:id="170"/>
      <w:r w:rsidR="00EF08C7" w:rsidRPr="00A16DBD">
        <w:rPr>
          <w:rFonts w:ascii="Bookman Old Style" w:hAnsi="Bookman Old Style" w:cs="Arial"/>
          <w:iCs/>
          <w:sz w:val="22"/>
          <w:szCs w:val="22"/>
        </w:rPr>
        <w:t>,</w:t>
      </w:r>
      <w:r w:rsidR="004B0604" w:rsidRPr="00A16DBD">
        <w:rPr>
          <w:rFonts w:ascii="Bookman Old Style" w:hAnsi="Bookman Old Style" w:cs="Arial"/>
          <w:iCs/>
          <w:sz w:val="22"/>
          <w:szCs w:val="22"/>
        </w:rPr>
        <w:t xml:space="preserve"> ferma restando la natura giuridica di libera attività d’impresa dell’attività di produzione, importazione, esportazione, acquisto e vendita di energia elettrica, fa salvi i proventi economici liberamente pattuiti dagli operatori del settore con gli enti locali sul cui territorio insistono gli impianti alimentati da fonti rinnovabili, sulla base di </w:t>
      </w:r>
      <w:r w:rsidR="004B0604" w:rsidRPr="00A16DBD">
        <w:rPr>
          <w:rFonts w:ascii="Bookman Old Style" w:hAnsi="Bookman Old Style" w:cs="Arial"/>
          <w:b/>
          <w:bCs/>
          <w:iCs/>
          <w:sz w:val="22"/>
          <w:szCs w:val="22"/>
        </w:rPr>
        <w:t>accordi sottoscritti prima del 10 settembre 2010,</w:t>
      </w:r>
      <w:r w:rsidR="004B0604" w:rsidRPr="00A16DBD">
        <w:rPr>
          <w:rFonts w:ascii="Bookman Old Style" w:hAnsi="Bookman Old Style" w:cs="Arial"/>
          <w:iCs/>
          <w:sz w:val="22"/>
          <w:szCs w:val="22"/>
        </w:rPr>
        <w:t xml:space="preserve"> data di entrata in vigore delle linee guida per lo svolgimento del procedimento di autorizzazione e di installazione degli impianti alimentati da fonti rinnovabili, restano acquisiti nei bilanci degli enti locali, mantenendo tali accordi piena efficacia.</w:t>
      </w:r>
    </w:p>
    <w:p w:rsidR="004B0604" w:rsidRPr="00A16DBD" w:rsidRDefault="004B0604" w:rsidP="004B0604">
      <w:pPr>
        <w:pStyle w:val="NormaleWeb"/>
        <w:spacing w:before="60" w:beforeAutospacing="0" w:after="60" w:afterAutospacing="0"/>
        <w:jc w:val="both"/>
        <w:rPr>
          <w:rFonts w:ascii="Bookman Old Style" w:hAnsi="Bookman Old Style" w:cs="Arial"/>
          <w:sz w:val="22"/>
          <w:szCs w:val="22"/>
        </w:rPr>
      </w:pPr>
      <w:r w:rsidRPr="00A16DBD">
        <w:rPr>
          <w:rFonts w:ascii="Bookman Old Style" w:hAnsi="Bookman Old Style" w:cs="Arial"/>
          <w:iCs/>
          <w:sz w:val="22"/>
          <w:szCs w:val="22"/>
        </w:rPr>
        <w:t>Dal 1 gennaio 2019, tali accordi sono rivisti alla luce delle predette linee guida (approvate con D.M. 10 settembre 2010) e segnatamente dei criteri contenuti nell’allegato 2. Si dispone altresì che gli importi già erogati o da erogarsi in favore degli enti locali concorrono alla formazione del reddito di impresa del titolare dell’impianto alimentato da fonti rinnovabili.</w:t>
      </w:r>
    </w:p>
    <w:p w:rsidR="004B0604" w:rsidRPr="00A16DBD" w:rsidRDefault="004B0604" w:rsidP="00C57ACB">
      <w:pPr>
        <w:pStyle w:val="NormaleWeb"/>
        <w:spacing w:before="60" w:beforeAutospacing="0" w:after="60" w:afterAutospacing="0"/>
        <w:jc w:val="both"/>
        <w:rPr>
          <w:rFonts w:ascii="Bookman Old Style" w:hAnsi="Bookman Old Style" w:cs="Arial"/>
          <w:sz w:val="22"/>
          <w:szCs w:val="22"/>
        </w:rPr>
      </w:pPr>
      <w:r w:rsidRPr="00A16DBD">
        <w:rPr>
          <w:rFonts w:ascii="Bookman Old Style" w:hAnsi="Bookman Old Style" w:cs="Arial"/>
          <w:iCs/>
          <w:sz w:val="22"/>
          <w:szCs w:val="22"/>
        </w:rPr>
        <w:t xml:space="preserve">Trattasi di una proposta che l’ANCI ha fortemente voluto e sostenuto anche nella discussione della passata legge di bilancio ed è il frutto di un lavoro che l’Associazione ha fatto con il Ministero dello Sviluppo Economico ed una rappresentanza di Comuni interessati che rischiavano altrimenti il dissesto finanziario. </w:t>
      </w:r>
    </w:p>
    <w:p w:rsidR="00140F86" w:rsidRPr="00A16DBD" w:rsidRDefault="00140F86" w:rsidP="00346770">
      <w:pPr>
        <w:tabs>
          <w:tab w:val="left" w:pos="3285"/>
        </w:tabs>
        <w:spacing w:before="60" w:after="60" w:line="240" w:lineRule="auto"/>
        <w:ind w:firstLine="0"/>
        <w:rPr>
          <w:rFonts w:ascii="Bookman Old Style" w:hAnsi="Bookman Old Style"/>
          <w:iCs/>
          <w:szCs w:val="22"/>
        </w:rPr>
      </w:pPr>
    </w:p>
    <w:p w:rsidR="009E260C" w:rsidRPr="006537DF" w:rsidRDefault="006537DF" w:rsidP="009E260C">
      <w:pPr>
        <w:pStyle w:val="Titolo2"/>
        <w:ind w:firstLine="0"/>
        <w:rPr>
          <w:rFonts w:ascii="Bookman Old Style" w:hAnsi="Bookman Old Style"/>
          <w:b/>
          <w:sz w:val="22"/>
          <w:szCs w:val="22"/>
        </w:rPr>
      </w:pPr>
      <w:bookmarkStart w:id="171" w:name="_Toc534028025"/>
      <w:bookmarkStart w:id="172" w:name="_Toc533979369"/>
      <w:r>
        <w:rPr>
          <w:rFonts w:ascii="Bookman Old Style" w:hAnsi="Bookman Old Style"/>
          <w:b/>
          <w:sz w:val="22"/>
          <w:szCs w:val="22"/>
        </w:rPr>
        <w:t>C</w:t>
      </w:r>
      <w:r w:rsidRPr="006537DF">
        <w:rPr>
          <w:rFonts w:ascii="Bookman Old Style" w:hAnsi="Bookman Old Style"/>
          <w:b/>
          <w:sz w:val="22"/>
          <w:szCs w:val="22"/>
        </w:rPr>
        <w:t>arta di identit</w:t>
      </w:r>
      <w:r>
        <w:rPr>
          <w:rFonts w:ascii="Bookman Old Style" w:hAnsi="Bookman Old Style"/>
          <w:b/>
          <w:sz w:val="22"/>
          <w:szCs w:val="22"/>
        </w:rPr>
        <w:t>à</w:t>
      </w:r>
      <w:r w:rsidRPr="006537DF">
        <w:rPr>
          <w:rFonts w:ascii="Bookman Old Style" w:hAnsi="Bookman Old Style"/>
          <w:b/>
          <w:sz w:val="22"/>
          <w:szCs w:val="22"/>
        </w:rPr>
        <w:t xml:space="preserve"> elettronica</w:t>
      </w:r>
      <w:bookmarkEnd w:id="171"/>
      <w:r w:rsidRPr="006537DF">
        <w:rPr>
          <w:rFonts w:ascii="Bookman Old Style" w:hAnsi="Bookman Old Style"/>
          <w:b/>
          <w:sz w:val="22"/>
          <w:szCs w:val="22"/>
        </w:rPr>
        <w:t xml:space="preserve"> </w:t>
      </w:r>
    </w:p>
    <w:p w:rsidR="00713CB8" w:rsidRPr="00051A6E" w:rsidRDefault="009F656B" w:rsidP="00713CB8">
      <w:pPr>
        <w:tabs>
          <w:tab w:val="left" w:pos="3285"/>
        </w:tabs>
        <w:spacing w:before="60" w:after="60" w:line="240" w:lineRule="auto"/>
        <w:ind w:firstLine="0"/>
        <w:rPr>
          <w:rFonts w:ascii="Bookman Old Style" w:hAnsi="Bookman Old Style"/>
          <w:iCs/>
          <w:szCs w:val="22"/>
        </w:rPr>
      </w:pPr>
      <w:r w:rsidRPr="005132B6">
        <w:rPr>
          <w:rFonts w:ascii="Bookman Old Style" w:hAnsi="Bookman Old Style"/>
          <w:iCs/>
          <w:szCs w:val="22"/>
        </w:rPr>
        <w:t xml:space="preserve">Il </w:t>
      </w:r>
      <w:r w:rsidR="006537DF" w:rsidRPr="005132B6">
        <w:rPr>
          <w:rFonts w:ascii="Bookman Old Style" w:hAnsi="Bookman Old Style"/>
          <w:b/>
          <w:szCs w:val="22"/>
        </w:rPr>
        <w:t>comma 811</w:t>
      </w:r>
      <w:bookmarkEnd w:id="172"/>
      <w:r w:rsidR="00A16DBD" w:rsidRPr="005132B6">
        <w:rPr>
          <w:rFonts w:ascii="Bookman Old Style" w:hAnsi="Bookman Old Style"/>
        </w:rPr>
        <w:t xml:space="preserve"> </w:t>
      </w:r>
      <w:r w:rsidR="00A44F22" w:rsidRPr="005132B6">
        <w:rPr>
          <w:rFonts w:ascii="Bookman Old Style" w:hAnsi="Bookman Old Style"/>
        </w:rPr>
        <w:t>consente</w:t>
      </w:r>
      <w:r w:rsidR="00713CB8" w:rsidRPr="00051A6E">
        <w:rPr>
          <w:rFonts w:ascii="Bookman Old Style" w:hAnsi="Bookman Old Style"/>
          <w:iCs/>
          <w:szCs w:val="22"/>
        </w:rPr>
        <w:t xml:space="preserve"> al Ministero dell’interno di stipulare </w:t>
      </w:r>
      <w:r w:rsidR="00713CB8" w:rsidRPr="00051A6E">
        <w:rPr>
          <w:rFonts w:ascii="Bookman Old Style" w:hAnsi="Bookman Old Style"/>
          <w:b/>
          <w:iCs/>
          <w:szCs w:val="22"/>
        </w:rPr>
        <w:t>convenzioni</w:t>
      </w:r>
      <w:r w:rsidR="00713CB8" w:rsidRPr="00051A6E">
        <w:rPr>
          <w:rFonts w:ascii="Bookman Old Style" w:hAnsi="Bookman Old Style"/>
          <w:iCs/>
          <w:szCs w:val="22"/>
        </w:rPr>
        <w:t xml:space="preserve"> ai fini della riduzione degli oneri amministrativi e di semplificazione delle modalità di richiesta, gestione e rilascio della </w:t>
      </w:r>
      <w:r w:rsidR="00713CB8" w:rsidRPr="00051A6E">
        <w:rPr>
          <w:rFonts w:ascii="Bookman Old Style" w:hAnsi="Bookman Old Style"/>
          <w:b/>
          <w:iCs/>
          <w:szCs w:val="22"/>
        </w:rPr>
        <w:t>carta d’identità elettronica</w:t>
      </w:r>
      <w:r w:rsidR="00713CB8" w:rsidRPr="00051A6E">
        <w:rPr>
          <w:rFonts w:ascii="Bookman Old Style" w:hAnsi="Bookman Old Style"/>
          <w:iCs/>
          <w:szCs w:val="22"/>
        </w:rPr>
        <w:t xml:space="preserve">, nel limite di spesa di </w:t>
      </w:r>
      <w:r w:rsidR="00713CB8" w:rsidRPr="00051A6E">
        <w:rPr>
          <w:rFonts w:ascii="Bookman Old Style" w:hAnsi="Bookman Old Style"/>
          <w:b/>
          <w:iCs/>
          <w:szCs w:val="22"/>
        </w:rPr>
        <w:t>750 mila euro a decorrere dal 2019</w:t>
      </w:r>
      <w:r w:rsidR="00713CB8" w:rsidRPr="00051A6E">
        <w:rPr>
          <w:rFonts w:ascii="Bookman Old Style" w:hAnsi="Bookman Old Style"/>
          <w:iCs/>
          <w:szCs w:val="22"/>
        </w:rPr>
        <w:t>, con soggetti che abbiano i seguenti requisiti:</w:t>
      </w:r>
    </w:p>
    <w:p w:rsidR="00713CB8" w:rsidRPr="00051A6E" w:rsidRDefault="00713CB8" w:rsidP="00713CB8">
      <w:pPr>
        <w:pStyle w:val="Paragrafoelenco"/>
        <w:numPr>
          <w:ilvl w:val="0"/>
          <w:numId w:val="5"/>
        </w:numPr>
        <w:tabs>
          <w:tab w:val="left" w:pos="3285"/>
        </w:tabs>
        <w:spacing w:before="60" w:after="60" w:line="240" w:lineRule="auto"/>
        <w:rPr>
          <w:rFonts w:ascii="Bookman Old Style" w:hAnsi="Bookman Old Style"/>
          <w:szCs w:val="22"/>
        </w:rPr>
      </w:pPr>
      <w:r w:rsidRPr="00051A6E">
        <w:rPr>
          <w:rFonts w:ascii="Bookman Old Style" w:hAnsi="Bookman Old Style"/>
          <w:szCs w:val="22"/>
        </w:rPr>
        <w:t>siano dotati di una rete di sportelli diffusa su tutto il territorio nazionale;</w:t>
      </w:r>
    </w:p>
    <w:p w:rsidR="00713CB8" w:rsidRPr="00051A6E" w:rsidRDefault="00713CB8" w:rsidP="00713CB8">
      <w:pPr>
        <w:pStyle w:val="Paragrafoelenco"/>
        <w:numPr>
          <w:ilvl w:val="0"/>
          <w:numId w:val="5"/>
        </w:numPr>
        <w:tabs>
          <w:tab w:val="left" w:pos="3285"/>
        </w:tabs>
        <w:spacing w:before="60" w:after="60" w:line="240" w:lineRule="auto"/>
        <w:rPr>
          <w:rFonts w:ascii="Bookman Old Style" w:hAnsi="Bookman Old Style"/>
          <w:szCs w:val="22"/>
        </w:rPr>
      </w:pPr>
      <w:r w:rsidRPr="00051A6E">
        <w:rPr>
          <w:rFonts w:ascii="Bookman Old Style" w:hAnsi="Bookman Old Style"/>
          <w:szCs w:val="22"/>
        </w:rPr>
        <w:t xml:space="preserve">siano </w:t>
      </w:r>
      <w:r w:rsidRPr="00051A6E">
        <w:rPr>
          <w:rFonts w:ascii="Bookman Old Style" w:hAnsi="Bookman Old Style"/>
          <w:i/>
          <w:szCs w:val="22"/>
        </w:rPr>
        <w:t>Identity provider</w:t>
      </w:r>
      <w:r w:rsidRPr="00051A6E">
        <w:rPr>
          <w:rFonts w:ascii="Bookman Old Style" w:hAnsi="Bookman Old Style"/>
          <w:szCs w:val="22"/>
        </w:rPr>
        <w:t>;</w:t>
      </w:r>
    </w:p>
    <w:p w:rsidR="00713CB8" w:rsidRPr="00051A6E" w:rsidRDefault="00713CB8" w:rsidP="00713CB8">
      <w:pPr>
        <w:pStyle w:val="Paragrafoelenco"/>
        <w:numPr>
          <w:ilvl w:val="0"/>
          <w:numId w:val="5"/>
        </w:numPr>
        <w:tabs>
          <w:tab w:val="left" w:pos="3285"/>
        </w:tabs>
        <w:spacing w:before="60" w:after="60" w:line="240" w:lineRule="auto"/>
        <w:rPr>
          <w:rFonts w:ascii="Bookman Old Style" w:hAnsi="Bookman Old Style"/>
          <w:szCs w:val="22"/>
        </w:rPr>
      </w:pPr>
      <w:r w:rsidRPr="00051A6E">
        <w:rPr>
          <w:rFonts w:ascii="Bookman Old Style" w:hAnsi="Bookman Old Style"/>
          <w:szCs w:val="22"/>
        </w:rPr>
        <w:t xml:space="preserve">abbiano la qualifica di </w:t>
      </w:r>
      <w:proofErr w:type="spellStart"/>
      <w:r w:rsidRPr="00051A6E">
        <w:rPr>
          <w:rFonts w:ascii="Bookman Old Style" w:hAnsi="Bookman Old Style"/>
          <w:i/>
          <w:szCs w:val="22"/>
        </w:rPr>
        <w:t>Certification</w:t>
      </w:r>
      <w:proofErr w:type="spellEnd"/>
      <w:r w:rsidRPr="00051A6E">
        <w:rPr>
          <w:rFonts w:ascii="Bookman Old Style" w:hAnsi="Bookman Old Style"/>
          <w:i/>
          <w:szCs w:val="22"/>
        </w:rPr>
        <w:t xml:space="preserve"> Authority</w:t>
      </w:r>
      <w:r w:rsidRPr="00051A6E">
        <w:rPr>
          <w:rFonts w:ascii="Bookman Old Style" w:hAnsi="Bookman Old Style"/>
          <w:szCs w:val="22"/>
        </w:rPr>
        <w:t>.</w:t>
      </w:r>
    </w:p>
    <w:p w:rsidR="00713CB8" w:rsidRDefault="00713CB8" w:rsidP="00713CB8">
      <w:pPr>
        <w:tabs>
          <w:tab w:val="left" w:pos="3285"/>
        </w:tabs>
        <w:spacing w:before="60" w:after="60" w:line="240" w:lineRule="auto"/>
        <w:ind w:firstLine="0"/>
        <w:rPr>
          <w:rFonts w:ascii="Bookman Old Style" w:hAnsi="Bookman Old Style"/>
          <w:szCs w:val="22"/>
        </w:rPr>
      </w:pPr>
      <w:r w:rsidRPr="00051A6E">
        <w:rPr>
          <w:rFonts w:ascii="Bookman Old Style" w:hAnsi="Bookman Old Style"/>
          <w:szCs w:val="22"/>
        </w:rPr>
        <w:t>Gli addetti alle procedure definite dalla convenzione sono incaricati di pubblico servizio e sono autorizzati a procedere all’identificazione degli interessati. I soggetti incaricati dalla convenzione riversano i corrispettivi delle carte d’identità elettroniche rilasciate e trattengono i diritti fissi e di segreteria.</w:t>
      </w:r>
    </w:p>
    <w:p w:rsidR="00DB5A23" w:rsidRPr="005132B6" w:rsidRDefault="00DB5A23" w:rsidP="005132B6">
      <w:pPr>
        <w:pStyle w:val="Titolo2"/>
        <w:ind w:firstLine="0"/>
        <w:rPr>
          <w:rFonts w:ascii="Bookman Old Style" w:hAnsi="Bookman Old Style"/>
          <w:b/>
          <w:sz w:val="22"/>
        </w:rPr>
      </w:pPr>
    </w:p>
    <w:p w:rsidR="009E260C" w:rsidRDefault="006537DF" w:rsidP="009E260C">
      <w:pPr>
        <w:pStyle w:val="Titolo2"/>
        <w:ind w:firstLine="0"/>
        <w:rPr>
          <w:rFonts w:ascii="Bookman Old Style" w:hAnsi="Bookman Old Style"/>
          <w:b/>
          <w:sz w:val="22"/>
          <w:szCs w:val="22"/>
          <w:highlight w:val="green"/>
        </w:rPr>
      </w:pPr>
      <w:bookmarkStart w:id="173" w:name="_Toc534028026"/>
      <w:bookmarkStart w:id="174" w:name="_Toc533979370"/>
      <w:r>
        <w:rPr>
          <w:rFonts w:ascii="Bookman Old Style" w:hAnsi="Bookman Old Style"/>
          <w:b/>
          <w:sz w:val="22"/>
          <w:szCs w:val="22"/>
        </w:rPr>
        <w:t>M</w:t>
      </w:r>
      <w:r w:rsidRPr="006537DF">
        <w:rPr>
          <w:rFonts w:ascii="Bookman Old Style" w:hAnsi="Bookman Old Style"/>
          <w:b/>
          <w:sz w:val="22"/>
          <w:szCs w:val="22"/>
        </w:rPr>
        <w:t>inori non accompagnati</w:t>
      </w:r>
      <w:bookmarkEnd w:id="173"/>
      <w:r w:rsidRPr="006537DF">
        <w:rPr>
          <w:rFonts w:ascii="Bookman Old Style" w:hAnsi="Bookman Old Style"/>
          <w:b/>
          <w:sz w:val="22"/>
          <w:szCs w:val="22"/>
        </w:rPr>
        <w:t xml:space="preserve"> </w:t>
      </w:r>
    </w:p>
    <w:p w:rsidR="00EC6890" w:rsidRPr="005132B6" w:rsidRDefault="009E260C" w:rsidP="005132B6">
      <w:pPr>
        <w:tabs>
          <w:tab w:val="left" w:pos="3285"/>
        </w:tabs>
        <w:spacing w:before="60" w:after="60" w:line="240" w:lineRule="auto"/>
        <w:ind w:firstLine="0"/>
        <w:rPr>
          <w:rFonts w:ascii="Bookman Old Style" w:hAnsi="Bookman Old Style"/>
          <w:highlight w:val="yellow"/>
        </w:rPr>
      </w:pPr>
      <w:r w:rsidRPr="00AC5999">
        <w:rPr>
          <w:rFonts w:ascii="Bookman Old Style" w:hAnsi="Bookman Old Style"/>
          <w:szCs w:val="22"/>
        </w:rPr>
        <w:t xml:space="preserve">Il </w:t>
      </w:r>
      <w:r w:rsidR="006537DF" w:rsidRPr="005132B6">
        <w:rPr>
          <w:rFonts w:ascii="Bookman Old Style" w:hAnsi="Bookman Old Style"/>
          <w:b/>
          <w:sz w:val="26"/>
        </w:rPr>
        <w:t>comma 769</w:t>
      </w:r>
      <w:r w:rsidR="006537DF" w:rsidRPr="005132B6">
        <w:rPr>
          <w:rFonts w:ascii="Bookman Old Style" w:hAnsi="Bookman Old Style"/>
          <w:sz w:val="26"/>
        </w:rPr>
        <w:t xml:space="preserve"> </w:t>
      </w:r>
      <w:bookmarkEnd w:id="174"/>
      <w:r w:rsidRPr="00AC5999">
        <w:rPr>
          <w:rFonts w:ascii="Bookman Old Style" w:hAnsi="Bookman Old Style"/>
          <w:szCs w:val="22"/>
        </w:rPr>
        <w:t>interviene sulla</w:t>
      </w:r>
      <w:r w:rsidR="00F5130C" w:rsidRPr="005132B6">
        <w:rPr>
          <w:rFonts w:ascii="Bookman Old Style" w:hAnsi="Bookman Old Style"/>
        </w:rPr>
        <w:t xml:space="preserve"> disciplina </w:t>
      </w:r>
      <w:r w:rsidRPr="00AC5999">
        <w:rPr>
          <w:rFonts w:ascii="Bookman Old Style" w:hAnsi="Bookman Old Style"/>
          <w:szCs w:val="22"/>
        </w:rPr>
        <w:t>dei minori stranieri non accompagnati</w:t>
      </w:r>
      <w:r w:rsidR="009F656B" w:rsidRPr="00AC5999">
        <w:rPr>
          <w:rFonts w:ascii="Bookman Old Style" w:hAnsi="Bookman Old Style"/>
          <w:szCs w:val="22"/>
        </w:rPr>
        <w:t xml:space="preserve"> di cui al dl</w:t>
      </w:r>
      <w:r w:rsidR="007D3519" w:rsidRPr="005132B6">
        <w:rPr>
          <w:rFonts w:ascii="Bookman Old Style" w:hAnsi="Bookman Old Style"/>
        </w:rPr>
        <w:t xml:space="preserve"> 113</w:t>
      </w:r>
      <w:r w:rsidR="009F656B" w:rsidRPr="00AC5999">
        <w:rPr>
          <w:rFonts w:ascii="Bookman Old Style" w:hAnsi="Bookman Old Style"/>
          <w:szCs w:val="22"/>
        </w:rPr>
        <w:t xml:space="preserve"> del </w:t>
      </w:r>
      <w:r w:rsidR="007D3519" w:rsidRPr="005132B6">
        <w:rPr>
          <w:rFonts w:ascii="Bookman Old Style" w:hAnsi="Bookman Old Style"/>
        </w:rPr>
        <w:t>2018</w:t>
      </w:r>
      <w:r w:rsidR="009F656B" w:rsidRPr="00AC5999">
        <w:rPr>
          <w:rFonts w:ascii="Bookman Old Style" w:hAnsi="Bookman Old Style"/>
          <w:szCs w:val="22"/>
        </w:rPr>
        <w:t xml:space="preserve">, abolendo la </w:t>
      </w:r>
      <w:r w:rsidRPr="00AC5999">
        <w:rPr>
          <w:rFonts w:ascii="Bookman Old Style" w:hAnsi="Bookman Old Style"/>
          <w:szCs w:val="22"/>
        </w:rPr>
        <w:t>lettera h-</w:t>
      </w:r>
      <w:r w:rsidR="009F656B" w:rsidRPr="00AC5999">
        <w:rPr>
          <w:rFonts w:ascii="Bookman Old Style" w:hAnsi="Bookman Old Style"/>
          <w:szCs w:val="22"/>
        </w:rPr>
        <w:t xml:space="preserve">bis </w:t>
      </w:r>
      <w:r w:rsidR="00AC5999" w:rsidRPr="00AC5999">
        <w:rPr>
          <w:rFonts w:ascii="Bookman Old Style" w:hAnsi="Bookman Old Style"/>
          <w:szCs w:val="22"/>
        </w:rPr>
        <w:t>del comma 2 dell’articolo 12,</w:t>
      </w:r>
      <w:r w:rsidR="007D3519" w:rsidRPr="005132B6">
        <w:rPr>
          <w:rFonts w:ascii="Bookman Old Style" w:hAnsi="Bookman Old Style"/>
        </w:rPr>
        <w:t xml:space="preserve"> che salvaguardava </w:t>
      </w:r>
      <w:r w:rsidR="009F656B" w:rsidRPr="00AC5999">
        <w:rPr>
          <w:rFonts w:ascii="Bookman Old Style" w:hAnsi="Bookman Old Style"/>
          <w:szCs w:val="22"/>
        </w:rPr>
        <w:t xml:space="preserve">in modo esplicito </w:t>
      </w:r>
      <w:r w:rsidR="007D3519" w:rsidRPr="005132B6">
        <w:rPr>
          <w:rFonts w:ascii="Bookman Old Style" w:hAnsi="Bookman Old Style"/>
        </w:rPr>
        <w:t xml:space="preserve">i Comuni </w:t>
      </w:r>
      <w:r w:rsidR="009F656B" w:rsidRPr="00AC5999">
        <w:rPr>
          <w:rFonts w:ascii="Bookman Old Style" w:hAnsi="Bookman Old Style"/>
          <w:szCs w:val="22"/>
        </w:rPr>
        <w:t xml:space="preserve">da qualsiasi onere aggiuntivo derivante dalla gestione del </w:t>
      </w:r>
      <w:r w:rsidR="007D3519" w:rsidRPr="005132B6">
        <w:rPr>
          <w:rFonts w:ascii="Bookman Old Style" w:hAnsi="Bookman Old Style"/>
        </w:rPr>
        <w:t>fenomeno</w:t>
      </w:r>
      <w:r w:rsidR="009F656B" w:rsidRPr="00AC5999">
        <w:rPr>
          <w:rFonts w:ascii="Bookman Old Style" w:hAnsi="Bookman Old Style"/>
          <w:szCs w:val="22"/>
        </w:rPr>
        <w:t>.</w:t>
      </w:r>
      <w:r w:rsidRPr="00AC5999">
        <w:rPr>
          <w:rFonts w:ascii="Bookman Old Style" w:hAnsi="Bookman Old Style"/>
          <w:szCs w:val="22"/>
        </w:rPr>
        <w:t xml:space="preserve"> </w:t>
      </w:r>
      <w:r w:rsidR="009F656B" w:rsidRPr="00AC5999">
        <w:rPr>
          <w:rFonts w:ascii="Bookman Old Style" w:hAnsi="Bookman Old Style"/>
          <w:szCs w:val="22"/>
        </w:rPr>
        <w:t>La modifica rischia pertanto di comportare</w:t>
      </w:r>
      <w:r w:rsidR="00115224" w:rsidRPr="005132B6">
        <w:rPr>
          <w:rFonts w:ascii="Bookman Old Style" w:hAnsi="Bookman Old Style"/>
        </w:rPr>
        <w:t xml:space="preserve"> un aggravio di spesa per i </w:t>
      </w:r>
      <w:r w:rsidR="004F2320" w:rsidRPr="005132B6">
        <w:rPr>
          <w:rFonts w:ascii="Bookman Old Style" w:hAnsi="Bookman Old Style"/>
        </w:rPr>
        <w:t>Comuni</w:t>
      </w:r>
      <w:r w:rsidR="00115224" w:rsidRPr="005132B6">
        <w:rPr>
          <w:rFonts w:ascii="Bookman Old Style" w:hAnsi="Bookman Old Style"/>
        </w:rPr>
        <w:t xml:space="preserve"> interessati.</w:t>
      </w:r>
    </w:p>
    <w:sectPr w:rsidR="00EC6890" w:rsidRPr="005132B6" w:rsidSect="004147AB">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2B6" w:rsidRDefault="005132B6" w:rsidP="00B629BC">
      <w:pPr>
        <w:spacing w:line="240" w:lineRule="auto"/>
      </w:pPr>
      <w:r>
        <w:separator/>
      </w:r>
    </w:p>
  </w:endnote>
  <w:endnote w:type="continuationSeparator" w:id="0">
    <w:p w:rsidR="005132B6" w:rsidRDefault="005132B6" w:rsidP="00B629BC">
      <w:pPr>
        <w:spacing w:line="240" w:lineRule="auto"/>
      </w:pPr>
      <w:r>
        <w:continuationSeparator/>
      </w:r>
    </w:p>
  </w:endnote>
  <w:endnote w:type="continuationNotice" w:id="1">
    <w:p w:rsidR="005132B6" w:rsidRDefault="005132B6">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Times#20New#20Roman,Bold">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20New#20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788343"/>
      <w:docPartObj>
        <w:docPartGallery w:val="Page Numbers (Bottom of Page)"/>
        <w:docPartUnique/>
      </w:docPartObj>
    </w:sdtPr>
    <w:sdtEndPr>
      <w:rPr>
        <w:rFonts w:ascii="Bookman Old Style" w:hAnsi="Bookman Old Style"/>
        <w:sz w:val="18"/>
        <w:szCs w:val="18"/>
      </w:rPr>
    </w:sdtEndPr>
    <w:sdtContent>
      <w:p w:rsidR="005132B6" w:rsidRPr="00AC5999" w:rsidRDefault="007132D8">
        <w:pPr>
          <w:pStyle w:val="Pidipagina"/>
          <w:jc w:val="right"/>
          <w:rPr>
            <w:rFonts w:ascii="Bookman Old Style" w:hAnsi="Bookman Old Style"/>
            <w:sz w:val="18"/>
            <w:szCs w:val="18"/>
          </w:rPr>
        </w:pPr>
        <w:r w:rsidRPr="00AC5999">
          <w:rPr>
            <w:rFonts w:ascii="Bookman Old Style" w:hAnsi="Bookman Old Style"/>
            <w:sz w:val="18"/>
            <w:szCs w:val="18"/>
          </w:rPr>
          <w:fldChar w:fldCharType="begin"/>
        </w:r>
        <w:r w:rsidR="005132B6" w:rsidRPr="00AC5999">
          <w:rPr>
            <w:rFonts w:ascii="Bookman Old Style" w:hAnsi="Bookman Old Style"/>
            <w:sz w:val="18"/>
            <w:szCs w:val="18"/>
          </w:rPr>
          <w:instrText>PAGE   \* MERGEFORMAT</w:instrText>
        </w:r>
        <w:r w:rsidRPr="00AC5999">
          <w:rPr>
            <w:rFonts w:ascii="Bookman Old Style" w:hAnsi="Bookman Old Style"/>
            <w:sz w:val="18"/>
            <w:szCs w:val="18"/>
          </w:rPr>
          <w:fldChar w:fldCharType="separate"/>
        </w:r>
        <w:r w:rsidR="00F94A61">
          <w:rPr>
            <w:rFonts w:ascii="Bookman Old Style" w:hAnsi="Bookman Old Style"/>
            <w:noProof/>
            <w:sz w:val="18"/>
            <w:szCs w:val="18"/>
          </w:rPr>
          <w:t>16</w:t>
        </w:r>
        <w:r w:rsidRPr="00AC5999">
          <w:rPr>
            <w:rFonts w:ascii="Bookman Old Style" w:hAnsi="Bookman Old Style"/>
            <w:sz w:val="18"/>
            <w:szCs w:val="18"/>
          </w:rPr>
          <w:fldChar w:fldCharType="end"/>
        </w:r>
      </w:p>
    </w:sdtContent>
  </w:sdt>
  <w:p w:rsidR="005132B6" w:rsidRDefault="005132B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2B6" w:rsidRDefault="005132B6" w:rsidP="00B629BC">
      <w:pPr>
        <w:spacing w:line="240" w:lineRule="auto"/>
      </w:pPr>
      <w:r>
        <w:separator/>
      </w:r>
    </w:p>
  </w:footnote>
  <w:footnote w:type="continuationSeparator" w:id="0">
    <w:p w:rsidR="005132B6" w:rsidRDefault="005132B6" w:rsidP="00B629BC">
      <w:pPr>
        <w:spacing w:line="240" w:lineRule="auto"/>
      </w:pPr>
      <w:r>
        <w:continuationSeparator/>
      </w:r>
    </w:p>
  </w:footnote>
  <w:footnote w:type="continuationNotice" w:id="1">
    <w:p w:rsidR="005132B6" w:rsidRDefault="005132B6">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2194"/>
    <w:multiLevelType w:val="hybridMultilevel"/>
    <w:tmpl w:val="CF1A8DAC"/>
    <w:lvl w:ilvl="0" w:tplc="EF761ECC">
      <w:start w:val="1"/>
      <w:numFmt w:val="lowerLetter"/>
      <w:lvlText w:val="%1)"/>
      <w:lvlJc w:val="left"/>
      <w:pPr>
        <w:ind w:left="1080" w:hanging="360"/>
      </w:pPr>
      <w:rPr>
        <w:rFonts w:eastAsia="Calibri" w:cs="Calibri"/>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
    <w:nsid w:val="1A41633F"/>
    <w:multiLevelType w:val="hybridMultilevel"/>
    <w:tmpl w:val="6A442F1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A36286"/>
    <w:multiLevelType w:val="hybridMultilevel"/>
    <w:tmpl w:val="BF084F32"/>
    <w:lvl w:ilvl="0" w:tplc="E33AD72E">
      <w:start w:val="1"/>
      <w:numFmt w:val="lowerLetter"/>
      <w:lvlText w:val="%1)"/>
      <w:lvlJc w:val="left"/>
      <w:pPr>
        <w:ind w:left="1080" w:hanging="360"/>
      </w:pPr>
      <w:rPr>
        <w:rFonts w:eastAsia="Calibri" w:cs="Calibri"/>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3">
    <w:nsid w:val="2E3E3982"/>
    <w:multiLevelType w:val="hybridMultilevel"/>
    <w:tmpl w:val="0764E2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40B3DFD"/>
    <w:multiLevelType w:val="hybridMultilevel"/>
    <w:tmpl w:val="8BF47026"/>
    <w:lvl w:ilvl="0" w:tplc="04100017">
      <w:start w:val="1"/>
      <w:numFmt w:val="lowerLetter"/>
      <w:lvlText w:val="%1)"/>
      <w:lvlJc w:val="left"/>
      <w:pPr>
        <w:ind w:left="6" w:hanging="360"/>
      </w:pPr>
      <w:rPr>
        <w:rFonts w:hint="default"/>
      </w:rPr>
    </w:lvl>
    <w:lvl w:ilvl="1" w:tplc="04100019" w:tentative="1">
      <w:start w:val="1"/>
      <w:numFmt w:val="lowerLetter"/>
      <w:lvlText w:val="%2."/>
      <w:lvlJc w:val="left"/>
      <w:pPr>
        <w:ind w:left="726" w:hanging="360"/>
      </w:pPr>
    </w:lvl>
    <w:lvl w:ilvl="2" w:tplc="0410001B" w:tentative="1">
      <w:start w:val="1"/>
      <w:numFmt w:val="lowerRoman"/>
      <w:lvlText w:val="%3."/>
      <w:lvlJc w:val="right"/>
      <w:pPr>
        <w:ind w:left="1446" w:hanging="180"/>
      </w:pPr>
    </w:lvl>
    <w:lvl w:ilvl="3" w:tplc="0410000F" w:tentative="1">
      <w:start w:val="1"/>
      <w:numFmt w:val="decimal"/>
      <w:lvlText w:val="%4."/>
      <w:lvlJc w:val="left"/>
      <w:pPr>
        <w:ind w:left="2166" w:hanging="360"/>
      </w:pPr>
    </w:lvl>
    <w:lvl w:ilvl="4" w:tplc="04100019" w:tentative="1">
      <w:start w:val="1"/>
      <w:numFmt w:val="lowerLetter"/>
      <w:lvlText w:val="%5."/>
      <w:lvlJc w:val="left"/>
      <w:pPr>
        <w:ind w:left="2886" w:hanging="360"/>
      </w:pPr>
    </w:lvl>
    <w:lvl w:ilvl="5" w:tplc="0410001B" w:tentative="1">
      <w:start w:val="1"/>
      <w:numFmt w:val="lowerRoman"/>
      <w:lvlText w:val="%6."/>
      <w:lvlJc w:val="right"/>
      <w:pPr>
        <w:ind w:left="3606" w:hanging="180"/>
      </w:pPr>
    </w:lvl>
    <w:lvl w:ilvl="6" w:tplc="0410000F" w:tentative="1">
      <w:start w:val="1"/>
      <w:numFmt w:val="decimal"/>
      <w:lvlText w:val="%7."/>
      <w:lvlJc w:val="left"/>
      <w:pPr>
        <w:ind w:left="4326" w:hanging="360"/>
      </w:pPr>
    </w:lvl>
    <w:lvl w:ilvl="7" w:tplc="04100019" w:tentative="1">
      <w:start w:val="1"/>
      <w:numFmt w:val="lowerLetter"/>
      <w:lvlText w:val="%8."/>
      <w:lvlJc w:val="left"/>
      <w:pPr>
        <w:ind w:left="5046" w:hanging="360"/>
      </w:pPr>
    </w:lvl>
    <w:lvl w:ilvl="8" w:tplc="0410001B" w:tentative="1">
      <w:start w:val="1"/>
      <w:numFmt w:val="lowerRoman"/>
      <w:lvlText w:val="%9."/>
      <w:lvlJc w:val="right"/>
      <w:pPr>
        <w:ind w:left="5766" w:hanging="180"/>
      </w:pPr>
    </w:lvl>
  </w:abstractNum>
  <w:abstractNum w:abstractNumId="5">
    <w:nsid w:val="3DF949C5"/>
    <w:multiLevelType w:val="hybridMultilevel"/>
    <w:tmpl w:val="45785A14"/>
    <w:lvl w:ilvl="0" w:tplc="0FA4600C">
      <w:numFmt w:val="bullet"/>
      <w:lvlText w:val="-"/>
      <w:lvlJc w:val="left"/>
      <w:pPr>
        <w:ind w:left="360" w:hanging="360"/>
      </w:pPr>
      <w:rPr>
        <w:rFonts w:ascii="Bookman Old Style" w:eastAsia="Times New Roman" w:hAnsi="Bookman Old Style"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40857BBE"/>
    <w:multiLevelType w:val="hybridMultilevel"/>
    <w:tmpl w:val="D370E8EA"/>
    <w:lvl w:ilvl="0" w:tplc="7BD06D0E">
      <w:start w:val="2"/>
      <w:numFmt w:val="bullet"/>
      <w:lvlText w:val="-"/>
      <w:lvlJc w:val="left"/>
      <w:pPr>
        <w:ind w:left="720" w:hanging="360"/>
      </w:pPr>
      <w:rPr>
        <w:rFonts w:ascii="Bookman Old Style" w:eastAsiaTheme="minorHAnsi" w:hAnsi="Bookman Old Styl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2FD332C"/>
    <w:multiLevelType w:val="hybridMultilevel"/>
    <w:tmpl w:val="38DA6D9C"/>
    <w:lvl w:ilvl="0" w:tplc="73AAD87A">
      <w:start w:val="20"/>
      <w:numFmt w:val="bullet"/>
      <w:lvlText w:val="-"/>
      <w:lvlJc w:val="left"/>
      <w:pPr>
        <w:ind w:left="720" w:hanging="360"/>
      </w:pPr>
      <w:rPr>
        <w:rFonts w:ascii="Arial" w:eastAsia="Times New Roman" w:hAnsi="Aria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FBB03AA"/>
    <w:multiLevelType w:val="hybridMultilevel"/>
    <w:tmpl w:val="180E46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12245E1"/>
    <w:multiLevelType w:val="hybridMultilevel"/>
    <w:tmpl w:val="34F61A3C"/>
    <w:lvl w:ilvl="0" w:tplc="78582DEC">
      <w:start w:val="5"/>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7AE7060"/>
    <w:multiLevelType w:val="hybridMultilevel"/>
    <w:tmpl w:val="023E806E"/>
    <w:lvl w:ilvl="0" w:tplc="78582DEC">
      <w:start w:val="5"/>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08A5CFA"/>
    <w:multiLevelType w:val="hybridMultilevel"/>
    <w:tmpl w:val="8BF470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E2356D"/>
    <w:multiLevelType w:val="hybridMultilevel"/>
    <w:tmpl w:val="CFF0D3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5D577BF"/>
    <w:multiLevelType w:val="hybridMultilevel"/>
    <w:tmpl w:val="7A64BDB2"/>
    <w:lvl w:ilvl="0" w:tplc="78582DEC">
      <w:start w:val="5"/>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B3D4341"/>
    <w:multiLevelType w:val="hybridMultilevel"/>
    <w:tmpl w:val="827C4696"/>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2C24D16"/>
    <w:multiLevelType w:val="hybridMultilevel"/>
    <w:tmpl w:val="37E0E2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6097EA5"/>
    <w:multiLevelType w:val="hybridMultilevel"/>
    <w:tmpl w:val="A834631E"/>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7F1F1138"/>
    <w:multiLevelType w:val="hybridMultilevel"/>
    <w:tmpl w:val="99DC1DB4"/>
    <w:lvl w:ilvl="0" w:tplc="B3A69744">
      <w:numFmt w:val="bullet"/>
      <w:lvlText w:val="-"/>
      <w:lvlJc w:val="left"/>
      <w:pPr>
        <w:ind w:left="360" w:hanging="360"/>
      </w:pPr>
      <w:rPr>
        <w:rFonts w:ascii="Helvetica" w:eastAsia="Times New Roman" w:hAnsi="Helvetica"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7F401FAD"/>
    <w:multiLevelType w:val="hybridMultilevel"/>
    <w:tmpl w:val="7CCE749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8"/>
  </w:num>
  <w:num w:numId="2">
    <w:abstractNumId w:val="14"/>
  </w:num>
  <w:num w:numId="3">
    <w:abstractNumId w:val="18"/>
  </w:num>
  <w:num w:numId="4">
    <w:abstractNumId w:val="15"/>
  </w:num>
  <w:num w:numId="5">
    <w:abstractNumId w:val="1"/>
  </w:num>
  <w:num w:numId="6">
    <w:abstractNumId w:val="7"/>
  </w:num>
  <w:num w:numId="7">
    <w:abstractNumId w:val="1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5"/>
  </w:num>
  <w:num w:numId="13">
    <w:abstractNumId w:val="6"/>
  </w:num>
  <w:num w:numId="14">
    <w:abstractNumId w:val="3"/>
  </w:num>
  <w:num w:numId="15">
    <w:abstractNumId w:val="16"/>
  </w:num>
  <w:num w:numId="16">
    <w:abstractNumId w:val="17"/>
  </w:num>
  <w:num w:numId="17">
    <w:abstractNumId w:val="10"/>
  </w:num>
  <w:num w:numId="18">
    <w:abstractNumId w:val="13"/>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hyphenationZone w:val="283"/>
  <w:characterSpacingControl w:val="doNotCompress"/>
  <w:hdrShapeDefaults>
    <o:shapedefaults v:ext="edit" spidmax="6145"/>
  </w:hdrShapeDefaults>
  <w:footnotePr>
    <w:footnote w:id="-1"/>
    <w:footnote w:id="0"/>
    <w:footnote w:id="1"/>
  </w:footnotePr>
  <w:endnotePr>
    <w:endnote w:id="-1"/>
    <w:endnote w:id="0"/>
    <w:endnote w:id="1"/>
  </w:endnotePr>
  <w:compat/>
  <w:docVars>
    <w:docVar w:name="__Grammarly_42____i" w:val="H4sIAAAAAAAEAKtWckksSQxILCpxzi/NK1GyMqwFAAEhoTITAAAA"/>
    <w:docVar w:name="__Grammarly_42___1" w:val="H4sIAAAAAAAEAKtWcslP9kxRslIyNDa0NDAztTA3MjQ3MDM3NTFV0lEKTi0uzszPAykwqQUAMNG+OywAAAA="/>
  </w:docVars>
  <w:rsids>
    <w:rsidRoot w:val="00317C9B"/>
    <w:rsid w:val="00001DDC"/>
    <w:rsid w:val="000066C3"/>
    <w:rsid w:val="00015041"/>
    <w:rsid w:val="000237DD"/>
    <w:rsid w:val="00051A6E"/>
    <w:rsid w:val="00051EE7"/>
    <w:rsid w:val="00054239"/>
    <w:rsid w:val="00056849"/>
    <w:rsid w:val="00056D39"/>
    <w:rsid w:val="00057532"/>
    <w:rsid w:val="00067D8A"/>
    <w:rsid w:val="0008564F"/>
    <w:rsid w:val="000924D8"/>
    <w:rsid w:val="00097069"/>
    <w:rsid w:val="000A52F9"/>
    <w:rsid w:val="000A5721"/>
    <w:rsid w:val="000A5D6A"/>
    <w:rsid w:val="000B799D"/>
    <w:rsid w:val="000C1038"/>
    <w:rsid w:val="000D1C34"/>
    <w:rsid w:val="000D5805"/>
    <w:rsid w:val="000D62BF"/>
    <w:rsid w:val="000F2294"/>
    <w:rsid w:val="000F2A51"/>
    <w:rsid w:val="00102096"/>
    <w:rsid w:val="001021A6"/>
    <w:rsid w:val="001077D1"/>
    <w:rsid w:val="00113D9F"/>
    <w:rsid w:val="0011415D"/>
    <w:rsid w:val="00115224"/>
    <w:rsid w:val="0011716A"/>
    <w:rsid w:val="00117EBE"/>
    <w:rsid w:val="00124FE3"/>
    <w:rsid w:val="00125144"/>
    <w:rsid w:val="00131209"/>
    <w:rsid w:val="00140F86"/>
    <w:rsid w:val="001459C6"/>
    <w:rsid w:val="00153898"/>
    <w:rsid w:val="0015565E"/>
    <w:rsid w:val="0015649C"/>
    <w:rsid w:val="00176BE0"/>
    <w:rsid w:val="001A0919"/>
    <w:rsid w:val="001A2D1E"/>
    <w:rsid w:val="001A3F12"/>
    <w:rsid w:val="001B41BD"/>
    <w:rsid w:val="001B56B7"/>
    <w:rsid w:val="001D407E"/>
    <w:rsid w:val="001D63AD"/>
    <w:rsid w:val="002001B6"/>
    <w:rsid w:val="002467DC"/>
    <w:rsid w:val="002626DD"/>
    <w:rsid w:val="00264E79"/>
    <w:rsid w:val="00274ECD"/>
    <w:rsid w:val="00277648"/>
    <w:rsid w:val="0029057F"/>
    <w:rsid w:val="002B6FB8"/>
    <w:rsid w:val="002C1388"/>
    <w:rsid w:val="002C3809"/>
    <w:rsid w:val="002C7DFF"/>
    <w:rsid w:val="002E6D16"/>
    <w:rsid w:val="002F572F"/>
    <w:rsid w:val="00305DD7"/>
    <w:rsid w:val="0031020C"/>
    <w:rsid w:val="00317C9B"/>
    <w:rsid w:val="00322331"/>
    <w:rsid w:val="003431C6"/>
    <w:rsid w:val="00346770"/>
    <w:rsid w:val="00346D5A"/>
    <w:rsid w:val="0035035C"/>
    <w:rsid w:val="00350856"/>
    <w:rsid w:val="00352CBF"/>
    <w:rsid w:val="00370202"/>
    <w:rsid w:val="0037746F"/>
    <w:rsid w:val="003A7B1C"/>
    <w:rsid w:val="003B3C04"/>
    <w:rsid w:val="003B638D"/>
    <w:rsid w:val="003B7889"/>
    <w:rsid w:val="003F7C63"/>
    <w:rsid w:val="00405F7D"/>
    <w:rsid w:val="004147AB"/>
    <w:rsid w:val="00424BFC"/>
    <w:rsid w:val="0043027E"/>
    <w:rsid w:val="00436CB3"/>
    <w:rsid w:val="00441B59"/>
    <w:rsid w:val="00461D34"/>
    <w:rsid w:val="004623A2"/>
    <w:rsid w:val="0047134E"/>
    <w:rsid w:val="00490B09"/>
    <w:rsid w:val="00496009"/>
    <w:rsid w:val="004B0604"/>
    <w:rsid w:val="004B7027"/>
    <w:rsid w:val="004C0010"/>
    <w:rsid w:val="004C61D1"/>
    <w:rsid w:val="004D0B41"/>
    <w:rsid w:val="004D4D99"/>
    <w:rsid w:val="004F2320"/>
    <w:rsid w:val="005132B6"/>
    <w:rsid w:val="005149E3"/>
    <w:rsid w:val="005161C5"/>
    <w:rsid w:val="0051676F"/>
    <w:rsid w:val="00551939"/>
    <w:rsid w:val="005828D9"/>
    <w:rsid w:val="005A4324"/>
    <w:rsid w:val="005A74EF"/>
    <w:rsid w:val="0064714F"/>
    <w:rsid w:val="006537DF"/>
    <w:rsid w:val="00653F46"/>
    <w:rsid w:val="00686FE1"/>
    <w:rsid w:val="006918D0"/>
    <w:rsid w:val="006A3BAC"/>
    <w:rsid w:val="006C1A00"/>
    <w:rsid w:val="006C5362"/>
    <w:rsid w:val="006D5F80"/>
    <w:rsid w:val="006E4C8F"/>
    <w:rsid w:val="006E5836"/>
    <w:rsid w:val="006F13EE"/>
    <w:rsid w:val="006F2D8C"/>
    <w:rsid w:val="006F30B5"/>
    <w:rsid w:val="007132D8"/>
    <w:rsid w:val="00713CB4"/>
    <w:rsid w:val="00713CB8"/>
    <w:rsid w:val="007804F9"/>
    <w:rsid w:val="007869E1"/>
    <w:rsid w:val="00797467"/>
    <w:rsid w:val="007975FF"/>
    <w:rsid w:val="007A1BD5"/>
    <w:rsid w:val="007C307C"/>
    <w:rsid w:val="007C387A"/>
    <w:rsid w:val="007D3519"/>
    <w:rsid w:val="007D56A5"/>
    <w:rsid w:val="007F340D"/>
    <w:rsid w:val="00816197"/>
    <w:rsid w:val="008246E8"/>
    <w:rsid w:val="00826975"/>
    <w:rsid w:val="00833975"/>
    <w:rsid w:val="00837E59"/>
    <w:rsid w:val="00861D1F"/>
    <w:rsid w:val="00864A37"/>
    <w:rsid w:val="008749DF"/>
    <w:rsid w:val="00895D8B"/>
    <w:rsid w:val="008B17DB"/>
    <w:rsid w:val="008B36A5"/>
    <w:rsid w:val="008B7A99"/>
    <w:rsid w:val="008C14EF"/>
    <w:rsid w:val="008C5976"/>
    <w:rsid w:val="008D2AEB"/>
    <w:rsid w:val="008E07A6"/>
    <w:rsid w:val="008E0BD0"/>
    <w:rsid w:val="008F3AC9"/>
    <w:rsid w:val="0090370C"/>
    <w:rsid w:val="009411D4"/>
    <w:rsid w:val="009630FE"/>
    <w:rsid w:val="009775E0"/>
    <w:rsid w:val="00983095"/>
    <w:rsid w:val="009D199E"/>
    <w:rsid w:val="009E1593"/>
    <w:rsid w:val="009E260C"/>
    <w:rsid w:val="009F656B"/>
    <w:rsid w:val="00A16DBD"/>
    <w:rsid w:val="00A31692"/>
    <w:rsid w:val="00A3541D"/>
    <w:rsid w:val="00A40DCF"/>
    <w:rsid w:val="00A44F22"/>
    <w:rsid w:val="00A5538D"/>
    <w:rsid w:val="00A74219"/>
    <w:rsid w:val="00A8165D"/>
    <w:rsid w:val="00A965B5"/>
    <w:rsid w:val="00AB6E0D"/>
    <w:rsid w:val="00AC5999"/>
    <w:rsid w:val="00AD2D56"/>
    <w:rsid w:val="00AE1E5E"/>
    <w:rsid w:val="00AE28CD"/>
    <w:rsid w:val="00AF71DE"/>
    <w:rsid w:val="00B079A3"/>
    <w:rsid w:val="00B15E57"/>
    <w:rsid w:val="00B2347E"/>
    <w:rsid w:val="00B23D7D"/>
    <w:rsid w:val="00B31B1B"/>
    <w:rsid w:val="00B379AD"/>
    <w:rsid w:val="00B40BA6"/>
    <w:rsid w:val="00B41B4B"/>
    <w:rsid w:val="00B47C16"/>
    <w:rsid w:val="00B629BC"/>
    <w:rsid w:val="00B64A6F"/>
    <w:rsid w:val="00BA5D10"/>
    <w:rsid w:val="00BB3E36"/>
    <w:rsid w:val="00BC1C3A"/>
    <w:rsid w:val="00BC365F"/>
    <w:rsid w:val="00BE11EB"/>
    <w:rsid w:val="00BF57D5"/>
    <w:rsid w:val="00BF63E4"/>
    <w:rsid w:val="00C05442"/>
    <w:rsid w:val="00C24735"/>
    <w:rsid w:val="00C31E6C"/>
    <w:rsid w:val="00C322EC"/>
    <w:rsid w:val="00C32A5C"/>
    <w:rsid w:val="00C37BE7"/>
    <w:rsid w:val="00C409BE"/>
    <w:rsid w:val="00C444B3"/>
    <w:rsid w:val="00C45032"/>
    <w:rsid w:val="00C51286"/>
    <w:rsid w:val="00C57ACB"/>
    <w:rsid w:val="00C6356C"/>
    <w:rsid w:val="00C7336C"/>
    <w:rsid w:val="00C74185"/>
    <w:rsid w:val="00C95EBC"/>
    <w:rsid w:val="00CC1426"/>
    <w:rsid w:val="00CD6BA5"/>
    <w:rsid w:val="00CE4CA4"/>
    <w:rsid w:val="00D0035D"/>
    <w:rsid w:val="00D028F2"/>
    <w:rsid w:val="00D216F0"/>
    <w:rsid w:val="00D23851"/>
    <w:rsid w:val="00D23905"/>
    <w:rsid w:val="00D25220"/>
    <w:rsid w:val="00D2713D"/>
    <w:rsid w:val="00D33838"/>
    <w:rsid w:val="00D45968"/>
    <w:rsid w:val="00D739C5"/>
    <w:rsid w:val="00DB2BA8"/>
    <w:rsid w:val="00DB5A23"/>
    <w:rsid w:val="00DC3430"/>
    <w:rsid w:val="00DC3B5C"/>
    <w:rsid w:val="00DD6D24"/>
    <w:rsid w:val="00DE7291"/>
    <w:rsid w:val="00DF5F5A"/>
    <w:rsid w:val="00E04476"/>
    <w:rsid w:val="00E13C87"/>
    <w:rsid w:val="00E23DB0"/>
    <w:rsid w:val="00E26CCE"/>
    <w:rsid w:val="00E307B2"/>
    <w:rsid w:val="00E30F62"/>
    <w:rsid w:val="00E33A5C"/>
    <w:rsid w:val="00E4653F"/>
    <w:rsid w:val="00E46B68"/>
    <w:rsid w:val="00E524E4"/>
    <w:rsid w:val="00E53C5F"/>
    <w:rsid w:val="00E6430B"/>
    <w:rsid w:val="00E66618"/>
    <w:rsid w:val="00E82A65"/>
    <w:rsid w:val="00E92769"/>
    <w:rsid w:val="00EA4E2D"/>
    <w:rsid w:val="00EC6890"/>
    <w:rsid w:val="00ED4E29"/>
    <w:rsid w:val="00EF08C7"/>
    <w:rsid w:val="00EF3B8E"/>
    <w:rsid w:val="00EF58EB"/>
    <w:rsid w:val="00EF6A4B"/>
    <w:rsid w:val="00F05DBC"/>
    <w:rsid w:val="00F07ADF"/>
    <w:rsid w:val="00F20D96"/>
    <w:rsid w:val="00F2673A"/>
    <w:rsid w:val="00F27396"/>
    <w:rsid w:val="00F37196"/>
    <w:rsid w:val="00F5130C"/>
    <w:rsid w:val="00F573F0"/>
    <w:rsid w:val="00F604E1"/>
    <w:rsid w:val="00F6303A"/>
    <w:rsid w:val="00F75BA7"/>
    <w:rsid w:val="00F8487B"/>
    <w:rsid w:val="00F94A61"/>
    <w:rsid w:val="00F967FE"/>
    <w:rsid w:val="00F97D7F"/>
    <w:rsid w:val="00FA1CB0"/>
    <w:rsid w:val="00FA49F2"/>
    <w:rsid w:val="00FA5962"/>
    <w:rsid w:val="00FC0650"/>
    <w:rsid w:val="00FD0CA0"/>
    <w:rsid w:val="00FD3FAA"/>
    <w:rsid w:val="00FD419F"/>
    <w:rsid w:val="00FF3344"/>
    <w:rsid w:val="00FF4B6E"/>
    <w:rsid w:val="00FF64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0856"/>
    <w:pPr>
      <w:spacing w:after="0" w:line="300" w:lineRule="atLeast"/>
      <w:ind w:firstLine="284"/>
      <w:jc w:val="both"/>
    </w:pPr>
    <w:rPr>
      <w:rFonts w:ascii="Arial" w:eastAsia="Times New Roman" w:hAnsi="Arial" w:cs="Times New Roman"/>
      <w:szCs w:val="20"/>
      <w:lang w:eastAsia="it-IT"/>
    </w:rPr>
  </w:style>
  <w:style w:type="paragraph" w:styleId="Titolo1">
    <w:name w:val="heading 1"/>
    <w:basedOn w:val="Normale"/>
    <w:next w:val="Normale"/>
    <w:link w:val="Titolo1Carattere"/>
    <w:uiPriority w:val="9"/>
    <w:qFormat/>
    <w:rsid w:val="001459C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1459C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9"/>
    <w:qFormat/>
    <w:rsid w:val="00F573F0"/>
    <w:pPr>
      <w:keepNext/>
      <w:spacing w:before="240" w:after="180"/>
      <w:ind w:left="568" w:hanging="284"/>
      <w:jc w:val="left"/>
      <w:outlineLvl w:val="2"/>
    </w:pPr>
    <w:rPr>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7C9B"/>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7C9B"/>
    <w:rPr>
      <w:rFonts w:ascii="Tahoma" w:eastAsia="Times New Roman" w:hAnsi="Tahoma" w:cs="Tahoma"/>
      <w:sz w:val="16"/>
      <w:szCs w:val="16"/>
      <w:lang w:eastAsia="it-IT"/>
    </w:rPr>
  </w:style>
  <w:style w:type="paragraph" w:styleId="Paragrafoelenco">
    <w:name w:val="List Paragraph"/>
    <w:aliases w:val="Punto elenco 1"/>
    <w:basedOn w:val="Normale"/>
    <w:link w:val="ParagrafoelencoCarattere"/>
    <w:uiPriority w:val="34"/>
    <w:qFormat/>
    <w:rsid w:val="00317C9B"/>
    <w:pPr>
      <w:ind w:left="720"/>
      <w:contextualSpacing/>
    </w:pPr>
  </w:style>
  <w:style w:type="character" w:customStyle="1" w:styleId="Titolo3Carattere">
    <w:name w:val="Titolo 3 Carattere"/>
    <w:basedOn w:val="Carpredefinitoparagrafo"/>
    <w:link w:val="Titolo3"/>
    <w:uiPriority w:val="99"/>
    <w:rsid w:val="00F573F0"/>
    <w:rPr>
      <w:rFonts w:ascii="Arial" w:eastAsia="Times New Roman" w:hAnsi="Arial" w:cs="Times New Roman"/>
      <w:b/>
      <w:i/>
      <w:szCs w:val="20"/>
      <w:lang w:eastAsia="it-IT"/>
    </w:rPr>
  </w:style>
  <w:style w:type="character" w:customStyle="1" w:styleId="ParagrafoelencoCarattere">
    <w:name w:val="Paragrafo elenco Carattere"/>
    <w:aliases w:val="Punto elenco 1 Carattere"/>
    <w:link w:val="Paragrafoelenco"/>
    <w:uiPriority w:val="34"/>
    <w:qFormat/>
    <w:locked/>
    <w:rsid w:val="00346770"/>
    <w:rPr>
      <w:rFonts w:ascii="Arial" w:eastAsia="Times New Roman" w:hAnsi="Arial" w:cs="Times New Roman"/>
      <w:szCs w:val="20"/>
      <w:lang w:eastAsia="it-IT"/>
    </w:rPr>
  </w:style>
  <w:style w:type="paragraph" w:styleId="NormaleWeb">
    <w:name w:val="Normal (Web)"/>
    <w:basedOn w:val="Normale"/>
    <w:uiPriority w:val="99"/>
    <w:unhideWhenUsed/>
    <w:rsid w:val="006E4C8F"/>
    <w:pPr>
      <w:spacing w:before="100" w:beforeAutospacing="1" w:after="100" w:afterAutospacing="1" w:line="240" w:lineRule="auto"/>
      <w:ind w:firstLine="0"/>
      <w:jc w:val="left"/>
    </w:pPr>
    <w:rPr>
      <w:rFonts w:ascii="Times New Roman" w:hAnsi="Times New Roman"/>
      <w:sz w:val="24"/>
      <w:szCs w:val="24"/>
    </w:rPr>
  </w:style>
  <w:style w:type="table" w:styleId="Grigliatabella">
    <w:name w:val="Table Grid"/>
    <w:basedOn w:val="Tabellanormale"/>
    <w:uiPriority w:val="39"/>
    <w:rsid w:val="000A5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rsid w:val="001459C6"/>
    <w:rPr>
      <w:rFonts w:asciiTheme="majorHAnsi" w:eastAsiaTheme="majorEastAsia" w:hAnsiTheme="majorHAnsi" w:cstheme="majorBidi"/>
      <w:color w:val="365F91" w:themeColor="accent1" w:themeShade="BF"/>
      <w:sz w:val="26"/>
      <w:szCs w:val="26"/>
      <w:lang w:eastAsia="it-IT"/>
    </w:rPr>
  </w:style>
  <w:style w:type="character" w:customStyle="1" w:styleId="Titolo1Carattere">
    <w:name w:val="Titolo 1 Carattere"/>
    <w:basedOn w:val="Carpredefinitoparagrafo"/>
    <w:link w:val="Titolo1"/>
    <w:uiPriority w:val="9"/>
    <w:rsid w:val="001459C6"/>
    <w:rPr>
      <w:rFonts w:asciiTheme="majorHAnsi" w:eastAsiaTheme="majorEastAsia" w:hAnsiTheme="majorHAnsi" w:cstheme="majorBidi"/>
      <w:color w:val="365F91" w:themeColor="accent1" w:themeShade="BF"/>
      <w:sz w:val="32"/>
      <w:szCs w:val="32"/>
      <w:lang w:eastAsia="it-IT"/>
    </w:rPr>
  </w:style>
  <w:style w:type="paragraph" w:styleId="Titolosommario">
    <w:name w:val="TOC Heading"/>
    <w:basedOn w:val="Titolo1"/>
    <w:next w:val="Normale"/>
    <w:uiPriority w:val="39"/>
    <w:unhideWhenUsed/>
    <w:qFormat/>
    <w:rsid w:val="001459C6"/>
    <w:pPr>
      <w:spacing w:line="259" w:lineRule="auto"/>
      <w:ind w:firstLine="0"/>
      <w:jc w:val="left"/>
      <w:outlineLvl w:val="9"/>
    </w:pPr>
  </w:style>
  <w:style w:type="paragraph" w:styleId="Sommario2">
    <w:name w:val="toc 2"/>
    <w:basedOn w:val="Normale"/>
    <w:next w:val="Normale"/>
    <w:autoRedefine/>
    <w:uiPriority w:val="39"/>
    <w:unhideWhenUsed/>
    <w:rsid w:val="005132B6"/>
    <w:pPr>
      <w:tabs>
        <w:tab w:val="right" w:leader="dot" w:pos="9628"/>
      </w:tabs>
      <w:spacing w:after="100"/>
      <w:ind w:left="284" w:firstLine="0"/>
    </w:pPr>
    <w:rPr>
      <w:rFonts w:ascii="Bookman Old Style" w:hAnsi="Bookman Old Style"/>
      <w:noProof/>
    </w:rPr>
  </w:style>
  <w:style w:type="character" w:styleId="Collegamentoipertestuale">
    <w:name w:val="Hyperlink"/>
    <w:basedOn w:val="Carpredefinitoparagrafo"/>
    <w:uiPriority w:val="99"/>
    <w:unhideWhenUsed/>
    <w:rsid w:val="001459C6"/>
    <w:rPr>
      <w:color w:val="0000FF" w:themeColor="hyperlink"/>
      <w:u w:val="single"/>
    </w:rPr>
  </w:style>
  <w:style w:type="paragraph" w:styleId="Sommario1">
    <w:name w:val="toc 1"/>
    <w:basedOn w:val="Normale"/>
    <w:next w:val="Normale"/>
    <w:autoRedefine/>
    <w:uiPriority w:val="39"/>
    <w:unhideWhenUsed/>
    <w:rsid w:val="005149E3"/>
    <w:pPr>
      <w:tabs>
        <w:tab w:val="right" w:leader="dot" w:pos="9628"/>
      </w:tabs>
      <w:spacing w:after="100"/>
      <w:ind w:firstLine="0"/>
      <w:jc w:val="left"/>
    </w:pPr>
    <w:rPr>
      <w:b/>
      <w:noProof/>
    </w:rPr>
  </w:style>
  <w:style w:type="character" w:customStyle="1" w:styleId="ams">
    <w:name w:val="ams"/>
    <w:basedOn w:val="Carpredefinitoparagrafo"/>
    <w:rsid w:val="00A40DCF"/>
  </w:style>
  <w:style w:type="paragraph" w:styleId="Intestazione">
    <w:name w:val="header"/>
    <w:basedOn w:val="Normale"/>
    <w:link w:val="IntestazioneCarattere"/>
    <w:uiPriority w:val="99"/>
    <w:unhideWhenUsed/>
    <w:rsid w:val="00B629BC"/>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629BC"/>
    <w:rPr>
      <w:rFonts w:ascii="Arial" w:eastAsia="Times New Roman" w:hAnsi="Arial" w:cs="Times New Roman"/>
      <w:szCs w:val="20"/>
      <w:lang w:eastAsia="it-IT"/>
    </w:rPr>
  </w:style>
  <w:style w:type="paragraph" w:styleId="Pidipagina">
    <w:name w:val="footer"/>
    <w:basedOn w:val="Normale"/>
    <w:link w:val="PidipaginaCarattere"/>
    <w:uiPriority w:val="99"/>
    <w:unhideWhenUsed/>
    <w:rsid w:val="00B629BC"/>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629BC"/>
    <w:rPr>
      <w:rFonts w:ascii="Arial" w:eastAsia="Times New Roman" w:hAnsi="Arial" w:cs="Times New Roman"/>
      <w:szCs w:val="20"/>
      <w:lang w:eastAsia="it-IT"/>
    </w:rPr>
  </w:style>
  <w:style w:type="paragraph" w:styleId="Revisione">
    <w:name w:val="Revision"/>
    <w:hidden/>
    <w:uiPriority w:val="99"/>
    <w:semiHidden/>
    <w:rsid w:val="00B629BC"/>
    <w:pPr>
      <w:spacing w:after="0" w:line="240" w:lineRule="auto"/>
    </w:pPr>
    <w:rPr>
      <w:rFonts w:ascii="Arial" w:eastAsia="Times New Roman" w:hAnsi="Arial" w:cs="Times New Roman"/>
      <w:szCs w:val="20"/>
      <w:lang w:eastAsia="it-IT"/>
    </w:rPr>
  </w:style>
  <w:style w:type="character" w:styleId="Collegamentovisitato">
    <w:name w:val="FollowedHyperlink"/>
    <w:basedOn w:val="Carpredefinitoparagrafo"/>
    <w:uiPriority w:val="99"/>
    <w:semiHidden/>
    <w:unhideWhenUsed/>
    <w:rsid w:val="00B62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0856"/>
    <w:pPr>
      <w:spacing w:after="0" w:line="300" w:lineRule="atLeast"/>
      <w:ind w:firstLine="284"/>
      <w:jc w:val="both"/>
    </w:pPr>
    <w:rPr>
      <w:rFonts w:ascii="Arial" w:eastAsia="Times New Roman" w:hAnsi="Arial" w:cs="Times New Roman"/>
      <w:szCs w:val="20"/>
      <w:lang w:eastAsia="it-IT"/>
    </w:rPr>
  </w:style>
  <w:style w:type="paragraph" w:styleId="Titolo1">
    <w:name w:val="heading 1"/>
    <w:basedOn w:val="Normale"/>
    <w:next w:val="Normale"/>
    <w:link w:val="Titolo1Carattere"/>
    <w:uiPriority w:val="9"/>
    <w:qFormat/>
    <w:rsid w:val="001459C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1459C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9"/>
    <w:qFormat/>
    <w:rsid w:val="00F573F0"/>
    <w:pPr>
      <w:keepNext/>
      <w:spacing w:before="240" w:after="180"/>
      <w:ind w:left="568" w:hanging="284"/>
      <w:jc w:val="left"/>
      <w:outlineLvl w:val="2"/>
    </w:pPr>
    <w:rPr>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7C9B"/>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7C9B"/>
    <w:rPr>
      <w:rFonts w:ascii="Tahoma" w:eastAsia="Times New Roman" w:hAnsi="Tahoma" w:cs="Tahoma"/>
      <w:sz w:val="16"/>
      <w:szCs w:val="16"/>
      <w:lang w:eastAsia="it-IT"/>
    </w:rPr>
  </w:style>
  <w:style w:type="paragraph" w:styleId="Paragrafoelenco">
    <w:name w:val="List Paragraph"/>
    <w:aliases w:val="Punto elenco 1"/>
    <w:basedOn w:val="Normale"/>
    <w:link w:val="ParagrafoelencoCarattere"/>
    <w:uiPriority w:val="34"/>
    <w:qFormat/>
    <w:rsid w:val="00317C9B"/>
    <w:pPr>
      <w:ind w:left="720"/>
      <w:contextualSpacing/>
    </w:pPr>
  </w:style>
  <w:style w:type="character" w:customStyle="1" w:styleId="Titolo3Carattere">
    <w:name w:val="Titolo 3 Carattere"/>
    <w:basedOn w:val="Carpredefinitoparagrafo"/>
    <w:link w:val="Titolo3"/>
    <w:uiPriority w:val="99"/>
    <w:rsid w:val="00F573F0"/>
    <w:rPr>
      <w:rFonts w:ascii="Arial" w:eastAsia="Times New Roman" w:hAnsi="Arial" w:cs="Times New Roman"/>
      <w:b/>
      <w:i/>
      <w:szCs w:val="20"/>
      <w:lang w:eastAsia="it-IT"/>
    </w:rPr>
  </w:style>
  <w:style w:type="character" w:customStyle="1" w:styleId="ParagrafoelencoCarattere">
    <w:name w:val="Paragrafo elenco Carattere"/>
    <w:aliases w:val="Punto elenco 1 Carattere"/>
    <w:link w:val="Paragrafoelenco"/>
    <w:uiPriority w:val="34"/>
    <w:qFormat/>
    <w:locked/>
    <w:rsid w:val="00346770"/>
    <w:rPr>
      <w:rFonts w:ascii="Arial" w:eastAsia="Times New Roman" w:hAnsi="Arial" w:cs="Times New Roman"/>
      <w:szCs w:val="20"/>
      <w:lang w:eastAsia="it-IT"/>
    </w:rPr>
  </w:style>
  <w:style w:type="paragraph" w:styleId="NormaleWeb">
    <w:name w:val="Normal (Web)"/>
    <w:basedOn w:val="Normale"/>
    <w:uiPriority w:val="99"/>
    <w:unhideWhenUsed/>
    <w:rsid w:val="006E4C8F"/>
    <w:pPr>
      <w:spacing w:before="100" w:beforeAutospacing="1" w:after="100" w:afterAutospacing="1" w:line="240" w:lineRule="auto"/>
      <w:ind w:firstLine="0"/>
      <w:jc w:val="left"/>
    </w:pPr>
    <w:rPr>
      <w:rFonts w:ascii="Times New Roman" w:hAnsi="Times New Roman"/>
      <w:sz w:val="24"/>
      <w:szCs w:val="24"/>
    </w:rPr>
  </w:style>
  <w:style w:type="table" w:styleId="Grigliatabella">
    <w:name w:val="Table Grid"/>
    <w:basedOn w:val="Tabellanormale"/>
    <w:uiPriority w:val="39"/>
    <w:rsid w:val="000A5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1459C6"/>
    <w:rPr>
      <w:rFonts w:asciiTheme="majorHAnsi" w:eastAsiaTheme="majorEastAsia" w:hAnsiTheme="majorHAnsi" w:cstheme="majorBidi"/>
      <w:color w:val="365F91" w:themeColor="accent1" w:themeShade="BF"/>
      <w:sz w:val="26"/>
      <w:szCs w:val="26"/>
      <w:lang w:eastAsia="it-IT"/>
    </w:rPr>
  </w:style>
  <w:style w:type="character" w:customStyle="1" w:styleId="Titolo1Carattere">
    <w:name w:val="Titolo 1 Carattere"/>
    <w:basedOn w:val="Carpredefinitoparagrafo"/>
    <w:link w:val="Titolo1"/>
    <w:uiPriority w:val="9"/>
    <w:rsid w:val="001459C6"/>
    <w:rPr>
      <w:rFonts w:asciiTheme="majorHAnsi" w:eastAsiaTheme="majorEastAsia" w:hAnsiTheme="majorHAnsi" w:cstheme="majorBidi"/>
      <w:color w:val="365F91" w:themeColor="accent1" w:themeShade="BF"/>
      <w:sz w:val="32"/>
      <w:szCs w:val="32"/>
      <w:lang w:eastAsia="it-IT"/>
    </w:rPr>
  </w:style>
  <w:style w:type="paragraph" w:styleId="Titolosommario">
    <w:name w:val="TOC Heading"/>
    <w:basedOn w:val="Titolo1"/>
    <w:next w:val="Normale"/>
    <w:uiPriority w:val="39"/>
    <w:unhideWhenUsed/>
    <w:qFormat/>
    <w:rsid w:val="001459C6"/>
    <w:pPr>
      <w:spacing w:line="259" w:lineRule="auto"/>
      <w:ind w:firstLine="0"/>
      <w:jc w:val="left"/>
      <w:outlineLvl w:val="9"/>
    </w:pPr>
  </w:style>
  <w:style w:type="paragraph" w:styleId="Sommario2">
    <w:name w:val="toc 2"/>
    <w:basedOn w:val="Normale"/>
    <w:next w:val="Normale"/>
    <w:autoRedefine/>
    <w:uiPriority w:val="39"/>
    <w:unhideWhenUsed/>
    <w:rsid w:val="005132B6"/>
    <w:pPr>
      <w:tabs>
        <w:tab w:val="right" w:leader="dot" w:pos="9628"/>
      </w:tabs>
      <w:spacing w:after="100"/>
      <w:ind w:left="284" w:firstLine="0"/>
    </w:pPr>
    <w:rPr>
      <w:rFonts w:ascii="Bookman Old Style" w:hAnsi="Bookman Old Style"/>
      <w:noProof/>
    </w:rPr>
  </w:style>
  <w:style w:type="character" w:styleId="Collegamentoipertestuale">
    <w:name w:val="Hyperlink"/>
    <w:basedOn w:val="Carpredefinitoparagrafo"/>
    <w:uiPriority w:val="99"/>
    <w:unhideWhenUsed/>
    <w:rsid w:val="001459C6"/>
    <w:rPr>
      <w:color w:val="0000FF" w:themeColor="hyperlink"/>
      <w:u w:val="single"/>
    </w:rPr>
  </w:style>
  <w:style w:type="paragraph" w:styleId="Sommario1">
    <w:name w:val="toc 1"/>
    <w:basedOn w:val="Normale"/>
    <w:next w:val="Normale"/>
    <w:autoRedefine/>
    <w:uiPriority w:val="39"/>
    <w:unhideWhenUsed/>
    <w:rsid w:val="005149E3"/>
    <w:pPr>
      <w:tabs>
        <w:tab w:val="right" w:leader="dot" w:pos="9628"/>
      </w:tabs>
      <w:spacing w:after="100"/>
      <w:ind w:firstLine="0"/>
      <w:jc w:val="left"/>
    </w:pPr>
    <w:rPr>
      <w:b/>
      <w:noProof/>
    </w:rPr>
  </w:style>
  <w:style w:type="character" w:customStyle="1" w:styleId="ams">
    <w:name w:val="ams"/>
    <w:basedOn w:val="Carpredefinitoparagrafo"/>
    <w:rsid w:val="00A40DCF"/>
  </w:style>
  <w:style w:type="paragraph" w:styleId="Intestazione">
    <w:name w:val="header"/>
    <w:basedOn w:val="Normale"/>
    <w:link w:val="IntestazioneCarattere"/>
    <w:uiPriority w:val="99"/>
    <w:unhideWhenUsed/>
    <w:rsid w:val="00B629BC"/>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629BC"/>
    <w:rPr>
      <w:rFonts w:ascii="Arial" w:eastAsia="Times New Roman" w:hAnsi="Arial" w:cs="Times New Roman"/>
      <w:szCs w:val="20"/>
      <w:lang w:eastAsia="it-IT"/>
    </w:rPr>
  </w:style>
  <w:style w:type="paragraph" w:styleId="Pidipagina">
    <w:name w:val="footer"/>
    <w:basedOn w:val="Normale"/>
    <w:link w:val="PidipaginaCarattere"/>
    <w:uiPriority w:val="99"/>
    <w:unhideWhenUsed/>
    <w:rsid w:val="00B629BC"/>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629BC"/>
    <w:rPr>
      <w:rFonts w:ascii="Arial" w:eastAsia="Times New Roman" w:hAnsi="Arial" w:cs="Times New Roman"/>
      <w:szCs w:val="20"/>
      <w:lang w:eastAsia="it-IT"/>
    </w:rPr>
  </w:style>
  <w:style w:type="paragraph" w:styleId="Revisione">
    <w:name w:val="Revision"/>
    <w:hidden/>
    <w:uiPriority w:val="99"/>
    <w:semiHidden/>
    <w:rsid w:val="00B629BC"/>
    <w:pPr>
      <w:spacing w:after="0" w:line="240" w:lineRule="auto"/>
    </w:pPr>
    <w:rPr>
      <w:rFonts w:ascii="Arial" w:eastAsia="Times New Roman" w:hAnsi="Arial" w:cs="Times New Roman"/>
      <w:szCs w:val="20"/>
      <w:lang w:eastAsia="it-IT"/>
    </w:rPr>
  </w:style>
  <w:style w:type="character" w:styleId="Collegamentovisitato">
    <w:name w:val="FollowedHyperlink"/>
    <w:basedOn w:val="Carpredefinitoparagrafo"/>
    <w:uiPriority w:val="99"/>
    <w:semiHidden/>
    <w:unhideWhenUsed/>
    <w:rsid w:val="00B62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90411228">
      <w:bodyDiv w:val="1"/>
      <w:marLeft w:val="0"/>
      <w:marRight w:val="0"/>
      <w:marTop w:val="0"/>
      <w:marBottom w:val="0"/>
      <w:divBdr>
        <w:top w:val="none" w:sz="0" w:space="0" w:color="auto"/>
        <w:left w:val="none" w:sz="0" w:space="0" w:color="auto"/>
        <w:bottom w:val="none" w:sz="0" w:space="0" w:color="auto"/>
        <w:right w:val="none" w:sz="0" w:space="0" w:color="auto"/>
      </w:divBdr>
    </w:div>
    <w:div w:id="497696902">
      <w:bodyDiv w:val="1"/>
      <w:marLeft w:val="0"/>
      <w:marRight w:val="0"/>
      <w:marTop w:val="0"/>
      <w:marBottom w:val="0"/>
      <w:divBdr>
        <w:top w:val="none" w:sz="0" w:space="0" w:color="auto"/>
        <w:left w:val="none" w:sz="0" w:space="0" w:color="auto"/>
        <w:bottom w:val="none" w:sz="0" w:space="0" w:color="auto"/>
        <w:right w:val="none" w:sz="0" w:space="0" w:color="auto"/>
      </w:divBdr>
    </w:div>
    <w:div w:id="676157504">
      <w:bodyDiv w:val="1"/>
      <w:marLeft w:val="0"/>
      <w:marRight w:val="0"/>
      <w:marTop w:val="0"/>
      <w:marBottom w:val="0"/>
      <w:divBdr>
        <w:top w:val="none" w:sz="0" w:space="0" w:color="auto"/>
        <w:left w:val="none" w:sz="0" w:space="0" w:color="auto"/>
        <w:bottom w:val="none" w:sz="0" w:space="0" w:color="auto"/>
        <w:right w:val="none" w:sz="0" w:space="0" w:color="auto"/>
      </w:divBdr>
    </w:div>
    <w:div w:id="690107567">
      <w:bodyDiv w:val="1"/>
      <w:marLeft w:val="0"/>
      <w:marRight w:val="0"/>
      <w:marTop w:val="0"/>
      <w:marBottom w:val="0"/>
      <w:divBdr>
        <w:top w:val="none" w:sz="0" w:space="0" w:color="auto"/>
        <w:left w:val="none" w:sz="0" w:space="0" w:color="auto"/>
        <w:bottom w:val="none" w:sz="0" w:space="0" w:color="auto"/>
        <w:right w:val="none" w:sz="0" w:space="0" w:color="auto"/>
      </w:divBdr>
    </w:div>
    <w:div w:id="710107901">
      <w:bodyDiv w:val="1"/>
      <w:marLeft w:val="0"/>
      <w:marRight w:val="0"/>
      <w:marTop w:val="0"/>
      <w:marBottom w:val="0"/>
      <w:divBdr>
        <w:top w:val="none" w:sz="0" w:space="0" w:color="auto"/>
        <w:left w:val="none" w:sz="0" w:space="0" w:color="auto"/>
        <w:bottom w:val="none" w:sz="0" w:space="0" w:color="auto"/>
        <w:right w:val="none" w:sz="0" w:space="0" w:color="auto"/>
      </w:divBdr>
    </w:div>
    <w:div w:id="918099686">
      <w:bodyDiv w:val="1"/>
      <w:marLeft w:val="0"/>
      <w:marRight w:val="0"/>
      <w:marTop w:val="0"/>
      <w:marBottom w:val="0"/>
      <w:divBdr>
        <w:top w:val="none" w:sz="0" w:space="0" w:color="auto"/>
        <w:left w:val="none" w:sz="0" w:space="0" w:color="auto"/>
        <w:bottom w:val="none" w:sz="0" w:space="0" w:color="auto"/>
        <w:right w:val="none" w:sz="0" w:space="0" w:color="auto"/>
      </w:divBdr>
    </w:div>
    <w:div w:id="1059983545">
      <w:bodyDiv w:val="1"/>
      <w:marLeft w:val="0"/>
      <w:marRight w:val="0"/>
      <w:marTop w:val="0"/>
      <w:marBottom w:val="0"/>
      <w:divBdr>
        <w:top w:val="none" w:sz="0" w:space="0" w:color="auto"/>
        <w:left w:val="none" w:sz="0" w:space="0" w:color="auto"/>
        <w:bottom w:val="none" w:sz="0" w:space="0" w:color="auto"/>
        <w:right w:val="none" w:sz="0" w:space="0" w:color="auto"/>
      </w:divBdr>
    </w:div>
    <w:div w:id="1134105975">
      <w:bodyDiv w:val="1"/>
      <w:marLeft w:val="0"/>
      <w:marRight w:val="0"/>
      <w:marTop w:val="0"/>
      <w:marBottom w:val="0"/>
      <w:divBdr>
        <w:top w:val="none" w:sz="0" w:space="0" w:color="auto"/>
        <w:left w:val="none" w:sz="0" w:space="0" w:color="auto"/>
        <w:bottom w:val="none" w:sz="0" w:space="0" w:color="auto"/>
        <w:right w:val="none" w:sz="0" w:space="0" w:color="auto"/>
      </w:divBdr>
    </w:div>
    <w:div w:id="1146163238">
      <w:bodyDiv w:val="1"/>
      <w:marLeft w:val="0"/>
      <w:marRight w:val="0"/>
      <w:marTop w:val="0"/>
      <w:marBottom w:val="0"/>
      <w:divBdr>
        <w:top w:val="none" w:sz="0" w:space="0" w:color="auto"/>
        <w:left w:val="none" w:sz="0" w:space="0" w:color="auto"/>
        <w:bottom w:val="none" w:sz="0" w:space="0" w:color="auto"/>
        <w:right w:val="none" w:sz="0" w:space="0" w:color="auto"/>
      </w:divBdr>
      <w:divsChild>
        <w:div w:id="1305506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78898">
              <w:marLeft w:val="0"/>
              <w:marRight w:val="0"/>
              <w:marTop w:val="0"/>
              <w:marBottom w:val="0"/>
              <w:divBdr>
                <w:top w:val="none" w:sz="0" w:space="0" w:color="auto"/>
                <w:left w:val="none" w:sz="0" w:space="0" w:color="auto"/>
                <w:bottom w:val="none" w:sz="0" w:space="0" w:color="auto"/>
                <w:right w:val="none" w:sz="0" w:space="0" w:color="auto"/>
              </w:divBdr>
              <w:divsChild>
                <w:div w:id="1315912255">
                  <w:marLeft w:val="0"/>
                  <w:marRight w:val="0"/>
                  <w:marTop w:val="0"/>
                  <w:marBottom w:val="0"/>
                  <w:divBdr>
                    <w:top w:val="none" w:sz="0" w:space="0" w:color="auto"/>
                    <w:left w:val="none" w:sz="0" w:space="0" w:color="auto"/>
                    <w:bottom w:val="none" w:sz="0" w:space="0" w:color="auto"/>
                    <w:right w:val="none" w:sz="0" w:space="0" w:color="auto"/>
                  </w:divBdr>
                  <w:divsChild>
                    <w:div w:id="458959980">
                      <w:marLeft w:val="0"/>
                      <w:marRight w:val="0"/>
                      <w:marTop w:val="0"/>
                      <w:marBottom w:val="0"/>
                      <w:divBdr>
                        <w:top w:val="none" w:sz="0" w:space="0" w:color="auto"/>
                        <w:left w:val="none" w:sz="0" w:space="0" w:color="auto"/>
                        <w:bottom w:val="none" w:sz="0" w:space="0" w:color="auto"/>
                        <w:right w:val="none" w:sz="0" w:space="0" w:color="auto"/>
                      </w:divBdr>
                    </w:div>
                    <w:div w:id="1357003599">
                      <w:marLeft w:val="0"/>
                      <w:marRight w:val="0"/>
                      <w:marTop w:val="0"/>
                      <w:marBottom w:val="0"/>
                      <w:divBdr>
                        <w:top w:val="none" w:sz="0" w:space="0" w:color="auto"/>
                        <w:left w:val="none" w:sz="0" w:space="0" w:color="auto"/>
                        <w:bottom w:val="none" w:sz="0" w:space="0" w:color="auto"/>
                        <w:right w:val="none" w:sz="0" w:space="0" w:color="auto"/>
                      </w:divBdr>
                    </w:div>
                    <w:div w:id="1691371196">
                      <w:marLeft w:val="0"/>
                      <w:marRight w:val="0"/>
                      <w:marTop w:val="0"/>
                      <w:marBottom w:val="0"/>
                      <w:divBdr>
                        <w:top w:val="none" w:sz="0" w:space="0" w:color="auto"/>
                        <w:left w:val="none" w:sz="0" w:space="0" w:color="auto"/>
                        <w:bottom w:val="none" w:sz="0" w:space="0" w:color="auto"/>
                        <w:right w:val="none" w:sz="0" w:space="0" w:color="auto"/>
                      </w:divBdr>
                    </w:div>
                    <w:div w:id="713315405">
                      <w:marLeft w:val="0"/>
                      <w:marRight w:val="0"/>
                      <w:marTop w:val="0"/>
                      <w:marBottom w:val="0"/>
                      <w:divBdr>
                        <w:top w:val="none" w:sz="0" w:space="0" w:color="auto"/>
                        <w:left w:val="none" w:sz="0" w:space="0" w:color="auto"/>
                        <w:bottom w:val="none" w:sz="0" w:space="0" w:color="auto"/>
                        <w:right w:val="none" w:sz="0" w:space="0" w:color="auto"/>
                      </w:divBdr>
                    </w:div>
                    <w:div w:id="1038898296">
                      <w:marLeft w:val="0"/>
                      <w:marRight w:val="0"/>
                      <w:marTop w:val="0"/>
                      <w:marBottom w:val="0"/>
                      <w:divBdr>
                        <w:top w:val="none" w:sz="0" w:space="0" w:color="auto"/>
                        <w:left w:val="none" w:sz="0" w:space="0" w:color="auto"/>
                        <w:bottom w:val="none" w:sz="0" w:space="0" w:color="auto"/>
                        <w:right w:val="none" w:sz="0" w:space="0" w:color="auto"/>
                      </w:divBdr>
                    </w:div>
                    <w:div w:id="371465192">
                      <w:marLeft w:val="0"/>
                      <w:marRight w:val="0"/>
                      <w:marTop w:val="0"/>
                      <w:marBottom w:val="0"/>
                      <w:divBdr>
                        <w:top w:val="none" w:sz="0" w:space="0" w:color="auto"/>
                        <w:left w:val="none" w:sz="0" w:space="0" w:color="auto"/>
                        <w:bottom w:val="none" w:sz="0" w:space="0" w:color="auto"/>
                        <w:right w:val="none" w:sz="0" w:space="0" w:color="auto"/>
                      </w:divBdr>
                    </w:div>
                    <w:div w:id="597635729">
                      <w:marLeft w:val="0"/>
                      <w:marRight w:val="0"/>
                      <w:marTop w:val="0"/>
                      <w:marBottom w:val="0"/>
                      <w:divBdr>
                        <w:top w:val="none" w:sz="0" w:space="0" w:color="auto"/>
                        <w:left w:val="none" w:sz="0" w:space="0" w:color="auto"/>
                        <w:bottom w:val="none" w:sz="0" w:space="0" w:color="auto"/>
                        <w:right w:val="none" w:sz="0" w:space="0" w:color="auto"/>
                      </w:divBdr>
                    </w:div>
                    <w:div w:id="2041934662">
                      <w:marLeft w:val="0"/>
                      <w:marRight w:val="0"/>
                      <w:marTop w:val="0"/>
                      <w:marBottom w:val="0"/>
                      <w:divBdr>
                        <w:top w:val="none" w:sz="0" w:space="0" w:color="auto"/>
                        <w:left w:val="none" w:sz="0" w:space="0" w:color="auto"/>
                        <w:bottom w:val="none" w:sz="0" w:space="0" w:color="auto"/>
                        <w:right w:val="none" w:sz="0" w:space="0" w:color="auto"/>
                      </w:divBdr>
                    </w:div>
                    <w:div w:id="1737774263">
                      <w:marLeft w:val="0"/>
                      <w:marRight w:val="0"/>
                      <w:marTop w:val="0"/>
                      <w:marBottom w:val="0"/>
                      <w:divBdr>
                        <w:top w:val="none" w:sz="0" w:space="0" w:color="auto"/>
                        <w:left w:val="none" w:sz="0" w:space="0" w:color="auto"/>
                        <w:bottom w:val="none" w:sz="0" w:space="0" w:color="auto"/>
                        <w:right w:val="none" w:sz="0" w:space="0" w:color="auto"/>
                      </w:divBdr>
                    </w:div>
                    <w:div w:id="608321491">
                      <w:marLeft w:val="0"/>
                      <w:marRight w:val="0"/>
                      <w:marTop w:val="0"/>
                      <w:marBottom w:val="0"/>
                      <w:divBdr>
                        <w:top w:val="none" w:sz="0" w:space="0" w:color="auto"/>
                        <w:left w:val="none" w:sz="0" w:space="0" w:color="auto"/>
                        <w:bottom w:val="none" w:sz="0" w:space="0" w:color="auto"/>
                        <w:right w:val="none" w:sz="0" w:space="0" w:color="auto"/>
                      </w:divBdr>
                    </w:div>
                    <w:div w:id="270548711">
                      <w:marLeft w:val="0"/>
                      <w:marRight w:val="0"/>
                      <w:marTop w:val="0"/>
                      <w:marBottom w:val="0"/>
                      <w:divBdr>
                        <w:top w:val="none" w:sz="0" w:space="0" w:color="auto"/>
                        <w:left w:val="none" w:sz="0" w:space="0" w:color="auto"/>
                        <w:bottom w:val="none" w:sz="0" w:space="0" w:color="auto"/>
                        <w:right w:val="none" w:sz="0" w:space="0" w:color="auto"/>
                      </w:divBdr>
                    </w:div>
                    <w:div w:id="1264066923">
                      <w:marLeft w:val="0"/>
                      <w:marRight w:val="0"/>
                      <w:marTop w:val="0"/>
                      <w:marBottom w:val="0"/>
                      <w:divBdr>
                        <w:top w:val="none" w:sz="0" w:space="0" w:color="auto"/>
                        <w:left w:val="none" w:sz="0" w:space="0" w:color="auto"/>
                        <w:bottom w:val="none" w:sz="0" w:space="0" w:color="auto"/>
                        <w:right w:val="none" w:sz="0" w:space="0" w:color="auto"/>
                      </w:divBdr>
                    </w:div>
                    <w:div w:id="379864105">
                      <w:marLeft w:val="0"/>
                      <w:marRight w:val="0"/>
                      <w:marTop w:val="0"/>
                      <w:marBottom w:val="0"/>
                      <w:divBdr>
                        <w:top w:val="none" w:sz="0" w:space="0" w:color="auto"/>
                        <w:left w:val="none" w:sz="0" w:space="0" w:color="auto"/>
                        <w:bottom w:val="none" w:sz="0" w:space="0" w:color="auto"/>
                        <w:right w:val="none" w:sz="0" w:space="0" w:color="auto"/>
                      </w:divBdr>
                    </w:div>
                    <w:div w:id="2105302445">
                      <w:marLeft w:val="0"/>
                      <w:marRight w:val="0"/>
                      <w:marTop w:val="0"/>
                      <w:marBottom w:val="0"/>
                      <w:divBdr>
                        <w:top w:val="none" w:sz="0" w:space="0" w:color="auto"/>
                        <w:left w:val="none" w:sz="0" w:space="0" w:color="auto"/>
                        <w:bottom w:val="none" w:sz="0" w:space="0" w:color="auto"/>
                        <w:right w:val="none" w:sz="0" w:space="0" w:color="auto"/>
                      </w:divBdr>
                    </w:div>
                    <w:div w:id="1532185817">
                      <w:marLeft w:val="0"/>
                      <w:marRight w:val="0"/>
                      <w:marTop w:val="0"/>
                      <w:marBottom w:val="0"/>
                      <w:divBdr>
                        <w:top w:val="none" w:sz="0" w:space="0" w:color="auto"/>
                        <w:left w:val="none" w:sz="0" w:space="0" w:color="auto"/>
                        <w:bottom w:val="none" w:sz="0" w:space="0" w:color="auto"/>
                        <w:right w:val="none" w:sz="0" w:space="0" w:color="auto"/>
                      </w:divBdr>
                    </w:div>
                    <w:div w:id="9421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843327">
      <w:bodyDiv w:val="1"/>
      <w:marLeft w:val="0"/>
      <w:marRight w:val="0"/>
      <w:marTop w:val="0"/>
      <w:marBottom w:val="0"/>
      <w:divBdr>
        <w:top w:val="none" w:sz="0" w:space="0" w:color="auto"/>
        <w:left w:val="none" w:sz="0" w:space="0" w:color="auto"/>
        <w:bottom w:val="none" w:sz="0" w:space="0" w:color="auto"/>
        <w:right w:val="none" w:sz="0" w:space="0" w:color="auto"/>
      </w:divBdr>
    </w:div>
    <w:div w:id="1381704065">
      <w:bodyDiv w:val="1"/>
      <w:marLeft w:val="0"/>
      <w:marRight w:val="0"/>
      <w:marTop w:val="0"/>
      <w:marBottom w:val="0"/>
      <w:divBdr>
        <w:top w:val="none" w:sz="0" w:space="0" w:color="auto"/>
        <w:left w:val="none" w:sz="0" w:space="0" w:color="auto"/>
        <w:bottom w:val="none" w:sz="0" w:space="0" w:color="auto"/>
        <w:right w:val="none" w:sz="0" w:space="0" w:color="auto"/>
      </w:divBdr>
    </w:div>
    <w:div w:id="1423530195">
      <w:bodyDiv w:val="1"/>
      <w:marLeft w:val="0"/>
      <w:marRight w:val="0"/>
      <w:marTop w:val="0"/>
      <w:marBottom w:val="0"/>
      <w:divBdr>
        <w:top w:val="none" w:sz="0" w:space="0" w:color="auto"/>
        <w:left w:val="none" w:sz="0" w:space="0" w:color="auto"/>
        <w:bottom w:val="none" w:sz="0" w:space="0" w:color="auto"/>
        <w:right w:val="none" w:sz="0" w:space="0" w:color="auto"/>
      </w:divBdr>
      <w:divsChild>
        <w:div w:id="979387591">
          <w:marLeft w:val="0"/>
          <w:marRight w:val="0"/>
          <w:marTop w:val="0"/>
          <w:marBottom w:val="0"/>
          <w:divBdr>
            <w:top w:val="none" w:sz="0" w:space="0" w:color="auto"/>
            <w:left w:val="none" w:sz="0" w:space="0" w:color="auto"/>
            <w:bottom w:val="none" w:sz="0" w:space="0" w:color="auto"/>
            <w:right w:val="none" w:sz="0" w:space="0" w:color="auto"/>
          </w:divBdr>
          <w:divsChild>
            <w:div w:id="1837916749">
              <w:marLeft w:val="0"/>
              <w:marRight w:val="0"/>
              <w:marTop w:val="0"/>
              <w:marBottom w:val="0"/>
              <w:divBdr>
                <w:top w:val="none" w:sz="0" w:space="0" w:color="auto"/>
                <w:left w:val="none" w:sz="0" w:space="0" w:color="auto"/>
                <w:bottom w:val="none" w:sz="0" w:space="0" w:color="auto"/>
                <w:right w:val="none" w:sz="0" w:space="0" w:color="auto"/>
              </w:divBdr>
              <w:divsChild>
                <w:div w:id="1270812979">
                  <w:marLeft w:val="0"/>
                  <w:marRight w:val="0"/>
                  <w:marTop w:val="0"/>
                  <w:marBottom w:val="0"/>
                  <w:divBdr>
                    <w:top w:val="none" w:sz="0" w:space="0" w:color="auto"/>
                    <w:left w:val="none" w:sz="0" w:space="0" w:color="auto"/>
                    <w:bottom w:val="none" w:sz="0" w:space="0" w:color="auto"/>
                    <w:right w:val="none" w:sz="0" w:space="0" w:color="auto"/>
                  </w:divBdr>
                  <w:divsChild>
                    <w:div w:id="1440880503">
                      <w:marLeft w:val="0"/>
                      <w:marRight w:val="0"/>
                      <w:marTop w:val="0"/>
                      <w:marBottom w:val="0"/>
                      <w:divBdr>
                        <w:top w:val="none" w:sz="0" w:space="0" w:color="auto"/>
                        <w:left w:val="none" w:sz="0" w:space="0" w:color="auto"/>
                        <w:bottom w:val="none" w:sz="0" w:space="0" w:color="auto"/>
                        <w:right w:val="none" w:sz="0" w:space="0" w:color="auto"/>
                      </w:divBdr>
                      <w:divsChild>
                        <w:div w:id="1251429994">
                          <w:marLeft w:val="0"/>
                          <w:marRight w:val="0"/>
                          <w:marTop w:val="0"/>
                          <w:marBottom w:val="0"/>
                          <w:divBdr>
                            <w:top w:val="none" w:sz="0" w:space="0" w:color="auto"/>
                            <w:left w:val="none" w:sz="0" w:space="0" w:color="auto"/>
                            <w:bottom w:val="none" w:sz="0" w:space="0" w:color="auto"/>
                            <w:right w:val="none" w:sz="0" w:space="0" w:color="auto"/>
                          </w:divBdr>
                          <w:divsChild>
                            <w:div w:id="1974631531">
                              <w:marLeft w:val="0"/>
                              <w:marRight w:val="0"/>
                              <w:marTop w:val="0"/>
                              <w:marBottom w:val="0"/>
                              <w:divBdr>
                                <w:top w:val="none" w:sz="0" w:space="0" w:color="auto"/>
                                <w:left w:val="none" w:sz="0" w:space="0" w:color="auto"/>
                                <w:bottom w:val="none" w:sz="0" w:space="0" w:color="auto"/>
                                <w:right w:val="none" w:sz="0" w:space="0" w:color="auto"/>
                              </w:divBdr>
                              <w:divsChild>
                                <w:div w:id="1915502473">
                                  <w:marLeft w:val="0"/>
                                  <w:marRight w:val="0"/>
                                  <w:marTop w:val="0"/>
                                  <w:marBottom w:val="0"/>
                                  <w:divBdr>
                                    <w:top w:val="none" w:sz="0" w:space="0" w:color="auto"/>
                                    <w:left w:val="none" w:sz="0" w:space="0" w:color="auto"/>
                                    <w:bottom w:val="none" w:sz="0" w:space="0" w:color="auto"/>
                                    <w:right w:val="none" w:sz="0" w:space="0" w:color="auto"/>
                                  </w:divBdr>
                                  <w:divsChild>
                                    <w:div w:id="906110868">
                                      <w:marLeft w:val="0"/>
                                      <w:marRight w:val="0"/>
                                      <w:marTop w:val="0"/>
                                      <w:marBottom w:val="0"/>
                                      <w:divBdr>
                                        <w:top w:val="none" w:sz="0" w:space="0" w:color="auto"/>
                                        <w:left w:val="none" w:sz="0" w:space="0" w:color="auto"/>
                                        <w:bottom w:val="none" w:sz="0" w:space="0" w:color="auto"/>
                                        <w:right w:val="none" w:sz="0" w:space="0" w:color="auto"/>
                                      </w:divBdr>
                                      <w:divsChild>
                                        <w:div w:id="291062603">
                                          <w:marLeft w:val="0"/>
                                          <w:marRight w:val="0"/>
                                          <w:marTop w:val="0"/>
                                          <w:marBottom w:val="0"/>
                                          <w:divBdr>
                                            <w:top w:val="none" w:sz="0" w:space="0" w:color="auto"/>
                                            <w:left w:val="none" w:sz="0" w:space="0" w:color="auto"/>
                                            <w:bottom w:val="none" w:sz="0" w:space="0" w:color="auto"/>
                                            <w:right w:val="none" w:sz="0" w:space="0" w:color="auto"/>
                                          </w:divBdr>
                                          <w:divsChild>
                                            <w:div w:id="1592274404">
                                              <w:marLeft w:val="0"/>
                                              <w:marRight w:val="0"/>
                                              <w:marTop w:val="0"/>
                                              <w:marBottom w:val="0"/>
                                              <w:divBdr>
                                                <w:top w:val="none" w:sz="0" w:space="0" w:color="auto"/>
                                                <w:left w:val="none" w:sz="0" w:space="0" w:color="auto"/>
                                                <w:bottom w:val="none" w:sz="0" w:space="0" w:color="auto"/>
                                                <w:right w:val="none" w:sz="0" w:space="0" w:color="auto"/>
                                              </w:divBdr>
                                              <w:divsChild>
                                                <w:div w:id="580602981">
                                                  <w:marLeft w:val="0"/>
                                                  <w:marRight w:val="0"/>
                                                  <w:marTop w:val="0"/>
                                                  <w:marBottom w:val="0"/>
                                                  <w:divBdr>
                                                    <w:top w:val="none" w:sz="0" w:space="0" w:color="auto"/>
                                                    <w:left w:val="none" w:sz="0" w:space="0" w:color="auto"/>
                                                    <w:bottom w:val="none" w:sz="0" w:space="0" w:color="auto"/>
                                                    <w:right w:val="none" w:sz="0" w:space="0" w:color="auto"/>
                                                  </w:divBdr>
                                                  <w:divsChild>
                                                    <w:div w:id="1120682093">
                                                      <w:marLeft w:val="0"/>
                                                      <w:marRight w:val="0"/>
                                                      <w:marTop w:val="0"/>
                                                      <w:marBottom w:val="0"/>
                                                      <w:divBdr>
                                                        <w:top w:val="none" w:sz="0" w:space="0" w:color="auto"/>
                                                        <w:left w:val="none" w:sz="0" w:space="0" w:color="auto"/>
                                                        <w:bottom w:val="none" w:sz="0" w:space="0" w:color="auto"/>
                                                        <w:right w:val="none" w:sz="0" w:space="0" w:color="auto"/>
                                                      </w:divBdr>
                                                      <w:divsChild>
                                                        <w:div w:id="1154025164">
                                                          <w:marLeft w:val="0"/>
                                                          <w:marRight w:val="0"/>
                                                          <w:marTop w:val="0"/>
                                                          <w:marBottom w:val="0"/>
                                                          <w:divBdr>
                                                            <w:top w:val="none" w:sz="0" w:space="0" w:color="auto"/>
                                                            <w:left w:val="none" w:sz="0" w:space="0" w:color="auto"/>
                                                            <w:bottom w:val="none" w:sz="0" w:space="0" w:color="auto"/>
                                                            <w:right w:val="none" w:sz="0" w:space="0" w:color="auto"/>
                                                          </w:divBdr>
                                                          <w:divsChild>
                                                            <w:div w:id="856845935">
                                                              <w:marLeft w:val="0"/>
                                                              <w:marRight w:val="0"/>
                                                              <w:marTop w:val="0"/>
                                                              <w:marBottom w:val="0"/>
                                                              <w:divBdr>
                                                                <w:top w:val="none" w:sz="0" w:space="0" w:color="auto"/>
                                                                <w:left w:val="none" w:sz="0" w:space="0" w:color="auto"/>
                                                                <w:bottom w:val="none" w:sz="0" w:space="0" w:color="auto"/>
                                                                <w:right w:val="none" w:sz="0" w:space="0" w:color="auto"/>
                                                              </w:divBdr>
                                                              <w:divsChild>
                                                                <w:div w:id="765660105">
                                                                  <w:marLeft w:val="0"/>
                                                                  <w:marRight w:val="0"/>
                                                                  <w:marTop w:val="0"/>
                                                                  <w:marBottom w:val="0"/>
                                                                  <w:divBdr>
                                                                    <w:top w:val="none" w:sz="0" w:space="0" w:color="auto"/>
                                                                    <w:left w:val="none" w:sz="0" w:space="0" w:color="auto"/>
                                                                    <w:bottom w:val="none" w:sz="0" w:space="0" w:color="auto"/>
                                                                    <w:right w:val="none" w:sz="0" w:space="0" w:color="auto"/>
                                                                  </w:divBdr>
                                                                  <w:divsChild>
                                                                    <w:div w:id="47189428">
                                                                      <w:marLeft w:val="0"/>
                                                                      <w:marRight w:val="0"/>
                                                                      <w:marTop w:val="0"/>
                                                                      <w:marBottom w:val="0"/>
                                                                      <w:divBdr>
                                                                        <w:top w:val="none" w:sz="0" w:space="0" w:color="auto"/>
                                                                        <w:left w:val="none" w:sz="0" w:space="0" w:color="auto"/>
                                                                        <w:bottom w:val="none" w:sz="0" w:space="0" w:color="auto"/>
                                                                        <w:right w:val="none" w:sz="0" w:space="0" w:color="auto"/>
                                                                      </w:divBdr>
                                                                      <w:divsChild>
                                                                        <w:div w:id="1683193580">
                                                                          <w:marLeft w:val="0"/>
                                                                          <w:marRight w:val="240"/>
                                                                          <w:marTop w:val="0"/>
                                                                          <w:marBottom w:val="0"/>
                                                                          <w:divBdr>
                                                                            <w:top w:val="none" w:sz="0" w:space="0" w:color="auto"/>
                                                                            <w:left w:val="none" w:sz="0" w:space="0" w:color="auto"/>
                                                                            <w:bottom w:val="none" w:sz="0" w:space="0" w:color="auto"/>
                                                                            <w:right w:val="none" w:sz="0" w:space="0" w:color="auto"/>
                                                                          </w:divBdr>
                                                                          <w:divsChild>
                                                                            <w:div w:id="891306918">
                                                                              <w:marLeft w:val="0"/>
                                                                              <w:marRight w:val="0"/>
                                                                              <w:marTop w:val="0"/>
                                                                              <w:marBottom w:val="0"/>
                                                                              <w:divBdr>
                                                                                <w:top w:val="none" w:sz="0" w:space="0" w:color="auto"/>
                                                                                <w:left w:val="none" w:sz="0" w:space="0" w:color="auto"/>
                                                                                <w:bottom w:val="none" w:sz="0" w:space="0" w:color="auto"/>
                                                                                <w:right w:val="none" w:sz="0" w:space="0" w:color="auto"/>
                                                                              </w:divBdr>
                                                                              <w:divsChild>
                                                                                <w:div w:id="1165778018">
                                                                                  <w:marLeft w:val="0"/>
                                                                                  <w:marRight w:val="0"/>
                                                                                  <w:marTop w:val="0"/>
                                                                                  <w:marBottom w:val="0"/>
                                                                                  <w:divBdr>
                                                                                    <w:top w:val="none" w:sz="0" w:space="0" w:color="auto"/>
                                                                                    <w:left w:val="none" w:sz="0" w:space="0" w:color="auto"/>
                                                                                    <w:bottom w:val="none" w:sz="0" w:space="0" w:color="auto"/>
                                                                                    <w:right w:val="none" w:sz="0" w:space="0" w:color="auto"/>
                                                                                  </w:divBdr>
                                                                                  <w:divsChild>
                                                                                    <w:div w:id="224995806">
                                                                                      <w:marLeft w:val="0"/>
                                                                                      <w:marRight w:val="0"/>
                                                                                      <w:marTop w:val="0"/>
                                                                                      <w:marBottom w:val="0"/>
                                                                                      <w:divBdr>
                                                                                        <w:top w:val="none" w:sz="0" w:space="0" w:color="auto"/>
                                                                                        <w:left w:val="none" w:sz="0" w:space="0" w:color="auto"/>
                                                                                        <w:bottom w:val="none" w:sz="0" w:space="0" w:color="auto"/>
                                                                                        <w:right w:val="none" w:sz="0" w:space="0" w:color="auto"/>
                                                                                      </w:divBdr>
                                                                                      <w:divsChild>
                                                                                        <w:div w:id="820579189">
                                                                                          <w:marLeft w:val="0"/>
                                                                                          <w:marRight w:val="0"/>
                                                                                          <w:marTop w:val="0"/>
                                                                                          <w:marBottom w:val="0"/>
                                                                                          <w:divBdr>
                                                                                            <w:top w:val="none" w:sz="0" w:space="0" w:color="auto"/>
                                                                                            <w:left w:val="none" w:sz="0" w:space="0" w:color="auto"/>
                                                                                            <w:bottom w:val="none" w:sz="0" w:space="0" w:color="auto"/>
                                                                                            <w:right w:val="none" w:sz="0" w:space="0" w:color="auto"/>
                                                                                          </w:divBdr>
                                                                                          <w:divsChild>
                                                                                            <w:div w:id="2127894708">
                                                                                              <w:marLeft w:val="0"/>
                                                                                              <w:marRight w:val="0"/>
                                                                                              <w:marTop w:val="0"/>
                                                                                              <w:marBottom w:val="0"/>
                                                                                              <w:divBdr>
                                                                                                <w:top w:val="single" w:sz="2" w:space="0" w:color="EFEFEF"/>
                                                                                                <w:left w:val="none" w:sz="0" w:space="0" w:color="auto"/>
                                                                                                <w:bottom w:val="none" w:sz="0" w:space="0" w:color="auto"/>
                                                                                                <w:right w:val="none" w:sz="0" w:space="0" w:color="auto"/>
                                                                                              </w:divBdr>
                                                                                              <w:divsChild>
                                                                                                <w:div w:id="732460464">
                                                                                                  <w:marLeft w:val="0"/>
                                                                                                  <w:marRight w:val="0"/>
                                                                                                  <w:marTop w:val="0"/>
                                                                                                  <w:marBottom w:val="0"/>
                                                                                                  <w:divBdr>
                                                                                                    <w:top w:val="none" w:sz="0" w:space="0" w:color="auto"/>
                                                                                                    <w:left w:val="none" w:sz="0" w:space="0" w:color="auto"/>
                                                                                                    <w:bottom w:val="none" w:sz="0" w:space="0" w:color="auto"/>
                                                                                                    <w:right w:val="none" w:sz="0" w:space="0" w:color="auto"/>
                                                                                                  </w:divBdr>
                                                                                                  <w:divsChild>
                                                                                                    <w:div w:id="126582640">
                                                                                                      <w:marLeft w:val="0"/>
                                                                                                      <w:marRight w:val="0"/>
                                                                                                      <w:marTop w:val="0"/>
                                                                                                      <w:marBottom w:val="0"/>
                                                                                                      <w:divBdr>
                                                                                                        <w:top w:val="none" w:sz="0" w:space="0" w:color="auto"/>
                                                                                                        <w:left w:val="none" w:sz="0" w:space="0" w:color="auto"/>
                                                                                                        <w:bottom w:val="none" w:sz="0" w:space="0" w:color="auto"/>
                                                                                                        <w:right w:val="none" w:sz="0" w:space="0" w:color="auto"/>
                                                                                                      </w:divBdr>
                                                                                                      <w:divsChild>
                                                                                                        <w:div w:id="2139950685">
                                                                                                          <w:marLeft w:val="0"/>
                                                                                                          <w:marRight w:val="0"/>
                                                                                                          <w:marTop w:val="0"/>
                                                                                                          <w:marBottom w:val="0"/>
                                                                                                          <w:divBdr>
                                                                                                            <w:top w:val="none" w:sz="0" w:space="0" w:color="auto"/>
                                                                                                            <w:left w:val="none" w:sz="0" w:space="0" w:color="auto"/>
                                                                                                            <w:bottom w:val="none" w:sz="0" w:space="0" w:color="auto"/>
                                                                                                            <w:right w:val="none" w:sz="0" w:space="0" w:color="auto"/>
                                                                                                          </w:divBdr>
                                                                                                          <w:divsChild>
                                                                                                            <w:div w:id="1644967578">
                                                                                                              <w:marLeft w:val="0"/>
                                                                                                              <w:marRight w:val="0"/>
                                                                                                              <w:marTop w:val="0"/>
                                                                                                              <w:marBottom w:val="0"/>
                                                                                                              <w:divBdr>
                                                                                                                <w:top w:val="none" w:sz="0" w:space="0" w:color="auto"/>
                                                                                                                <w:left w:val="none" w:sz="0" w:space="0" w:color="auto"/>
                                                                                                                <w:bottom w:val="none" w:sz="0" w:space="0" w:color="auto"/>
                                                                                                                <w:right w:val="none" w:sz="0" w:space="0" w:color="auto"/>
                                                                                                              </w:divBdr>
                                                                                                              <w:divsChild>
                                                                                                                <w:div w:id="235015431">
                                                                                                                  <w:marLeft w:val="0"/>
                                                                                                                  <w:marRight w:val="0"/>
                                                                                                                  <w:marTop w:val="0"/>
                                                                                                                  <w:marBottom w:val="0"/>
                                                                                                                  <w:divBdr>
                                                                                                                    <w:top w:val="none" w:sz="0" w:space="0" w:color="auto"/>
                                                                                                                    <w:left w:val="none" w:sz="0" w:space="0" w:color="auto"/>
                                                                                                                    <w:bottom w:val="none" w:sz="0" w:space="0" w:color="auto"/>
                                                                                                                    <w:right w:val="none" w:sz="0" w:space="0" w:color="auto"/>
                                                                                                                  </w:divBdr>
                                                                                                                  <w:divsChild>
                                                                                                                    <w:div w:id="629826624">
                                                                                                                      <w:marLeft w:val="0"/>
                                                                                                                      <w:marRight w:val="0"/>
                                                                                                                      <w:marTop w:val="0"/>
                                                                                                                      <w:marBottom w:val="0"/>
                                                                                                                      <w:divBdr>
                                                                                                                        <w:top w:val="none" w:sz="0" w:space="0" w:color="auto"/>
                                                                                                                        <w:left w:val="none" w:sz="0" w:space="0" w:color="auto"/>
                                                                                                                        <w:bottom w:val="none" w:sz="0" w:space="0" w:color="auto"/>
                                                                                                                        <w:right w:val="none" w:sz="0" w:space="0" w:color="auto"/>
                                                                                                                      </w:divBdr>
                                                                                                                      <w:divsChild>
                                                                                                                        <w:div w:id="453330429">
                                                                                                                          <w:marLeft w:val="0"/>
                                                                                                                          <w:marRight w:val="0"/>
                                                                                                                          <w:marTop w:val="120"/>
                                                                                                                          <w:marBottom w:val="0"/>
                                                                                                                          <w:divBdr>
                                                                                                                            <w:top w:val="none" w:sz="0" w:space="0" w:color="auto"/>
                                                                                                                            <w:left w:val="none" w:sz="0" w:space="0" w:color="auto"/>
                                                                                                                            <w:bottom w:val="none" w:sz="0" w:space="0" w:color="auto"/>
                                                                                                                            <w:right w:val="none" w:sz="0" w:space="0" w:color="auto"/>
                                                                                                                          </w:divBdr>
                                                                                                                          <w:divsChild>
                                                                                                                            <w:div w:id="540556083">
                                                                                                                              <w:marLeft w:val="0"/>
                                                                                                                              <w:marRight w:val="0"/>
                                                                                                                              <w:marTop w:val="0"/>
                                                                                                                              <w:marBottom w:val="0"/>
                                                                                                                              <w:divBdr>
                                                                                                                                <w:top w:val="none" w:sz="0" w:space="0" w:color="auto"/>
                                                                                                                                <w:left w:val="none" w:sz="0" w:space="0" w:color="auto"/>
                                                                                                                                <w:bottom w:val="none" w:sz="0" w:space="0" w:color="auto"/>
                                                                                                                                <w:right w:val="none" w:sz="0" w:space="0" w:color="auto"/>
                                                                                                                              </w:divBdr>
                                                                                                                              <w:divsChild>
                                                                                                                                <w:div w:id="1152260485">
                                                                                                                                  <w:marLeft w:val="0"/>
                                                                                                                                  <w:marRight w:val="0"/>
                                                                                                                                  <w:marTop w:val="0"/>
                                                                                                                                  <w:marBottom w:val="0"/>
                                                                                                                                  <w:divBdr>
                                                                                                                                    <w:top w:val="none" w:sz="0" w:space="0" w:color="auto"/>
                                                                                                                                    <w:left w:val="none" w:sz="0" w:space="0" w:color="auto"/>
                                                                                                                                    <w:bottom w:val="none" w:sz="0" w:space="0" w:color="auto"/>
                                                                                                                                    <w:right w:val="none" w:sz="0" w:space="0" w:color="auto"/>
                                                                                                                                  </w:divBdr>
                                                                                                                                  <w:divsChild>
                                                                                                                                    <w:div w:id="165288412">
                                                                                                                                      <w:marLeft w:val="0"/>
                                                                                                                                      <w:marRight w:val="0"/>
                                                                                                                                      <w:marTop w:val="0"/>
                                                                                                                                      <w:marBottom w:val="0"/>
                                                                                                                                      <w:divBdr>
                                                                                                                                        <w:top w:val="none" w:sz="0" w:space="0" w:color="auto"/>
                                                                                                                                        <w:left w:val="none" w:sz="0" w:space="0" w:color="auto"/>
                                                                                                                                        <w:bottom w:val="none" w:sz="0" w:space="0" w:color="auto"/>
                                                                                                                                        <w:right w:val="none" w:sz="0" w:space="0" w:color="auto"/>
                                                                                                                                      </w:divBdr>
                                                                                                                                    </w:div>
                                                                                                                                    <w:div w:id="505487950">
                                                                                                                                      <w:marLeft w:val="0"/>
                                                                                                                                      <w:marRight w:val="0"/>
                                                                                                                                      <w:marTop w:val="0"/>
                                                                                                                                      <w:marBottom w:val="0"/>
                                                                                                                                      <w:divBdr>
                                                                                                                                        <w:top w:val="none" w:sz="0" w:space="0" w:color="auto"/>
                                                                                                                                        <w:left w:val="none" w:sz="0" w:space="0" w:color="auto"/>
                                                                                                                                        <w:bottom w:val="none" w:sz="0" w:space="0" w:color="auto"/>
                                                                                                                                        <w:right w:val="none" w:sz="0" w:space="0" w:color="auto"/>
                                                                                                                                      </w:divBdr>
                                                                                                                                    </w:div>
                                                                                                                                    <w:div w:id="784614477">
                                                                                                                                      <w:marLeft w:val="0"/>
                                                                                                                                      <w:marRight w:val="0"/>
                                                                                                                                      <w:marTop w:val="0"/>
                                                                                                                                      <w:marBottom w:val="0"/>
                                                                                                                                      <w:divBdr>
                                                                                                                                        <w:top w:val="none" w:sz="0" w:space="0" w:color="auto"/>
                                                                                                                                        <w:left w:val="none" w:sz="0" w:space="0" w:color="auto"/>
                                                                                                                                        <w:bottom w:val="none" w:sz="0" w:space="0" w:color="auto"/>
                                                                                                                                        <w:right w:val="none" w:sz="0" w:space="0" w:color="auto"/>
                                                                                                                                      </w:divBdr>
                                                                                                                                    </w:div>
                                                                                                                                    <w:div w:id="1233661103">
                                                                                                                                      <w:marLeft w:val="0"/>
                                                                                                                                      <w:marRight w:val="0"/>
                                                                                                                                      <w:marTop w:val="0"/>
                                                                                                                                      <w:marBottom w:val="0"/>
                                                                                                                                      <w:divBdr>
                                                                                                                                        <w:top w:val="none" w:sz="0" w:space="0" w:color="auto"/>
                                                                                                                                        <w:left w:val="none" w:sz="0" w:space="0" w:color="auto"/>
                                                                                                                                        <w:bottom w:val="none" w:sz="0" w:space="0" w:color="auto"/>
                                                                                                                                        <w:right w:val="none" w:sz="0" w:space="0" w:color="auto"/>
                                                                                                                                      </w:divBdr>
                                                                                                                                    </w:div>
                                                                                                                                    <w:div w:id="1169557952">
                                                                                                                                      <w:marLeft w:val="0"/>
                                                                                                                                      <w:marRight w:val="0"/>
                                                                                                                                      <w:marTop w:val="0"/>
                                                                                                                                      <w:marBottom w:val="0"/>
                                                                                                                                      <w:divBdr>
                                                                                                                                        <w:top w:val="none" w:sz="0" w:space="0" w:color="auto"/>
                                                                                                                                        <w:left w:val="none" w:sz="0" w:space="0" w:color="auto"/>
                                                                                                                                        <w:bottom w:val="none" w:sz="0" w:space="0" w:color="auto"/>
                                                                                                                                        <w:right w:val="none" w:sz="0" w:space="0" w:color="auto"/>
                                                                                                                                      </w:divBdr>
                                                                                                                                    </w:div>
                                                                                                                                    <w:div w:id="301351931">
                                                                                                                                      <w:marLeft w:val="0"/>
                                                                                                                                      <w:marRight w:val="0"/>
                                                                                                                                      <w:marTop w:val="0"/>
                                                                                                                                      <w:marBottom w:val="0"/>
                                                                                                                                      <w:divBdr>
                                                                                                                                        <w:top w:val="none" w:sz="0" w:space="0" w:color="auto"/>
                                                                                                                                        <w:left w:val="none" w:sz="0" w:space="0" w:color="auto"/>
                                                                                                                                        <w:bottom w:val="none" w:sz="0" w:space="0" w:color="auto"/>
                                                                                                                                        <w:right w:val="none" w:sz="0" w:space="0" w:color="auto"/>
                                                                                                                                      </w:divBdr>
                                                                                                                                    </w:div>
                                                                                                                                    <w:div w:id="138500157">
                                                                                                                                      <w:marLeft w:val="0"/>
                                                                                                                                      <w:marRight w:val="0"/>
                                                                                                                                      <w:marTop w:val="0"/>
                                                                                                                                      <w:marBottom w:val="0"/>
                                                                                                                                      <w:divBdr>
                                                                                                                                        <w:top w:val="none" w:sz="0" w:space="0" w:color="auto"/>
                                                                                                                                        <w:left w:val="none" w:sz="0" w:space="0" w:color="auto"/>
                                                                                                                                        <w:bottom w:val="none" w:sz="0" w:space="0" w:color="auto"/>
                                                                                                                                        <w:right w:val="none" w:sz="0" w:space="0" w:color="auto"/>
                                                                                                                                      </w:divBdr>
                                                                                                                                    </w:div>
                                                                                                                                    <w:div w:id="865679029">
                                                                                                                                      <w:marLeft w:val="0"/>
                                                                                                                                      <w:marRight w:val="0"/>
                                                                                                                                      <w:marTop w:val="0"/>
                                                                                                                                      <w:marBottom w:val="0"/>
                                                                                                                                      <w:divBdr>
                                                                                                                                        <w:top w:val="none" w:sz="0" w:space="0" w:color="auto"/>
                                                                                                                                        <w:left w:val="none" w:sz="0" w:space="0" w:color="auto"/>
                                                                                                                                        <w:bottom w:val="none" w:sz="0" w:space="0" w:color="auto"/>
                                                                                                                                        <w:right w:val="none" w:sz="0" w:space="0" w:color="auto"/>
                                                                                                                                      </w:divBdr>
                                                                                                                                    </w:div>
                                                                                                                                    <w:div w:id="1586693560">
                                                                                                                                      <w:marLeft w:val="0"/>
                                                                                                                                      <w:marRight w:val="0"/>
                                                                                                                                      <w:marTop w:val="0"/>
                                                                                                                                      <w:marBottom w:val="0"/>
                                                                                                                                      <w:divBdr>
                                                                                                                                        <w:top w:val="none" w:sz="0" w:space="0" w:color="auto"/>
                                                                                                                                        <w:left w:val="none" w:sz="0" w:space="0" w:color="auto"/>
                                                                                                                                        <w:bottom w:val="none" w:sz="0" w:space="0" w:color="auto"/>
                                                                                                                                        <w:right w:val="none" w:sz="0" w:space="0" w:color="auto"/>
                                                                                                                                      </w:divBdr>
                                                                                                                                    </w:div>
                                                                                                                                    <w:div w:id="1524897888">
                                                                                                                                      <w:marLeft w:val="0"/>
                                                                                                                                      <w:marRight w:val="0"/>
                                                                                                                                      <w:marTop w:val="0"/>
                                                                                                                                      <w:marBottom w:val="0"/>
                                                                                                                                      <w:divBdr>
                                                                                                                                        <w:top w:val="none" w:sz="0" w:space="0" w:color="auto"/>
                                                                                                                                        <w:left w:val="none" w:sz="0" w:space="0" w:color="auto"/>
                                                                                                                                        <w:bottom w:val="none" w:sz="0" w:space="0" w:color="auto"/>
                                                                                                                                        <w:right w:val="none" w:sz="0" w:space="0" w:color="auto"/>
                                                                                                                                      </w:divBdr>
                                                                                                                                    </w:div>
                                                                                                                                    <w:div w:id="840124513">
                                                                                                                                      <w:marLeft w:val="0"/>
                                                                                                                                      <w:marRight w:val="0"/>
                                                                                                                                      <w:marTop w:val="0"/>
                                                                                                                                      <w:marBottom w:val="0"/>
                                                                                                                                      <w:divBdr>
                                                                                                                                        <w:top w:val="none" w:sz="0" w:space="0" w:color="auto"/>
                                                                                                                                        <w:left w:val="none" w:sz="0" w:space="0" w:color="auto"/>
                                                                                                                                        <w:bottom w:val="none" w:sz="0" w:space="0" w:color="auto"/>
                                                                                                                                        <w:right w:val="none" w:sz="0" w:space="0" w:color="auto"/>
                                                                                                                                      </w:divBdr>
                                                                                                                                    </w:div>
                                                                                                                                    <w:div w:id="1624459970">
                                                                                                                                      <w:marLeft w:val="0"/>
                                                                                                                                      <w:marRight w:val="0"/>
                                                                                                                                      <w:marTop w:val="0"/>
                                                                                                                                      <w:marBottom w:val="0"/>
                                                                                                                                      <w:divBdr>
                                                                                                                                        <w:top w:val="none" w:sz="0" w:space="0" w:color="auto"/>
                                                                                                                                        <w:left w:val="none" w:sz="0" w:space="0" w:color="auto"/>
                                                                                                                                        <w:bottom w:val="none" w:sz="0" w:space="0" w:color="auto"/>
                                                                                                                                        <w:right w:val="none" w:sz="0" w:space="0" w:color="auto"/>
                                                                                                                                      </w:divBdr>
                                                                                                                                    </w:div>
                                                                                                                                    <w:div w:id="2129639">
                                                                                                                                      <w:marLeft w:val="0"/>
                                                                                                                                      <w:marRight w:val="0"/>
                                                                                                                                      <w:marTop w:val="0"/>
                                                                                                                                      <w:marBottom w:val="0"/>
                                                                                                                                      <w:divBdr>
                                                                                                                                        <w:top w:val="none" w:sz="0" w:space="0" w:color="auto"/>
                                                                                                                                        <w:left w:val="none" w:sz="0" w:space="0" w:color="auto"/>
                                                                                                                                        <w:bottom w:val="none" w:sz="0" w:space="0" w:color="auto"/>
                                                                                                                                        <w:right w:val="none" w:sz="0" w:space="0" w:color="auto"/>
                                                                                                                                      </w:divBdr>
                                                                                                                                    </w:div>
                                                                                                                                    <w:div w:id="383219989">
                                                                                                                                      <w:marLeft w:val="0"/>
                                                                                                                                      <w:marRight w:val="0"/>
                                                                                                                                      <w:marTop w:val="0"/>
                                                                                                                                      <w:marBottom w:val="0"/>
                                                                                                                                      <w:divBdr>
                                                                                                                                        <w:top w:val="none" w:sz="0" w:space="0" w:color="auto"/>
                                                                                                                                        <w:left w:val="none" w:sz="0" w:space="0" w:color="auto"/>
                                                                                                                                        <w:bottom w:val="none" w:sz="0" w:space="0" w:color="auto"/>
                                                                                                                                        <w:right w:val="none" w:sz="0" w:space="0" w:color="auto"/>
                                                                                                                                      </w:divBdr>
                                                                                                                                    </w:div>
                                                                                                                                    <w:div w:id="1264607961">
                                                                                                                                      <w:marLeft w:val="0"/>
                                                                                                                                      <w:marRight w:val="0"/>
                                                                                                                                      <w:marTop w:val="0"/>
                                                                                                                                      <w:marBottom w:val="0"/>
                                                                                                                                      <w:divBdr>
                                                                                                                                        <w:top w:val="none" w:sz="0" w:space="0" w:color="auto"/>
                                                                                                                                        <w:left w:val="none" w:sz="0" w:space="0" w:color="auto"/>
                                                                                                                                        <w:bottom w:val="none" w:sz="0" w:space="0" w:color="auto"/>
                                                                                                                                        <w:right w:val="none" w:sz="0" w:space="0" w:color="auto"/>
                                                                                                                                      </w:divBdr>
                                                                                                                                    </w:div>
                                                                                                                                    <w:div w:id="1037852988">
                                                                                                                                      <w:marLeft w:val="0"/>
                                                                                                                                      <w:marRight w:val="0"/>
                                                                                                                                      <w:marTop w:val="0"/>
                                                                                                                                      <w:marBottom w:val="0"/>
                                                                                                                                      <w:divBdr>
                                                                                                                                        <w:top w:val="none" w:sz="0" w:space="0" w:color="auto"/>
                                                                                                                                        <w:left w:val="none" w:sz="0" w:space="0" w:color="auto"/>
                                                                                                                                        <w:bottom w:val="none" w:sz="0" w:space="0" w:color="auto"/>
                                                                                                                                        <w:right w:val="none" w:sz="0" w:space="0" w:color="auto"/>
                                                                                                                                      </w:divBdr>
                                                                                                                                    </w:div>
                                                                                                                                    <w:div w:id="1439065403">
                                                                                                                                      <w:marLeft w:val="0"/>
                                                                                                                                      <w:marRight w:val="0"/>
                                                                                                                                      <w:marTop w:val="0"/>
                                                                                                                                      <w:marBottom w:val="0"/>
                                                                                                                                      <w:divBdr>
                                                                                                                                        <w:top w:val="none" w:sz="0" w:space="0" w:color="auto"/>
                                                                                                                                        <w:left w:val="none" w:sz="0" w:space="0" w:color="auto"/>
                                                                                                                                        <w:bottom w:val="none" w:sz="0" w:space="0" w:color="auto"/>
                                                                                                                                        <w:right w:val="none" w:sz="0" w:space="0" w:color="auto"/>
                                                                                                                                      </w:divBdr>
                                                                                                                                    </w:div>
                                                                                                                                    <w:div w:id="933827478">
                                                                                                                                      <w:marLeft w:val="0"/>
                                                                                                                                      <w:marRight w:val="0"/>
                                                                                                                                      <w:marTop w:val="0"/>
                                                                                                                                      <w:marBottom w:val="0"/>
                                                                                                                                      <w:divBdr>
                                                                                                                                        <w:top w:val="none" w:sz="0" w:space="0" w:color="auto"/>
                                                                                                                                        <w:left w:val="none" w:sz="0" w:space="0" w:color="auto"/>
                                                                                                                                        <w:bottom w:val="none" w:sz="0" w:space="0" w:color="auto"/>
                                                                                                                                        <w:right w:val="none" w:sz="0" w:space="0" w:color="auto"/>
                                                                                                                                      </w:divBdr>
                                                                                                                                    </w:div>
                                                                                                                                    <w:div w:id="1816676800">
                                                                                                                                      <w:marLeft w:val="0"/>
                                                                                                                                      <w:marRight w:val="0"/>
                                                                                                                                      <w:marTop w:val="0"/>
                                                                                                                                      <w:marBottom w:val="0"/>
                                                                                                                                      <w:divBdr>
                                                                                                                                        <w:top w:val="none" w:sz="0" w:space="0" w:color="auto"/>
                                                                                                                                        <w:left w:val="none" w:sz="0" w:space="0" w:color="auto"/>
                                                                                                                                        <w:bottom w:val="none" w:sz="0" w:space="0" w:color="auto"/>
                                                                                                                                        <w:right w:val="none" w:sz="0" w:space="0" w:color="auto"/>
                                                                                                                                      </w:divBdr>
                                                                                                                                    </w:div>
                                                                                                                                    <w:div w:id="2018264001">
                                                                                                                                      <w:marLeft w:val="0"/>
                                                                                                                                      <w:marRight w:val="0"/>
                                                                                                                                      <w:marTop w:val="0"/>
                                                                                                                                      <w:marBottom w:val="0"/>
                                                                                                                                      <w:divBdr>
                                                                                                                                        <w:top w:val="none" w:sz="0" w:space="0" w:color="auto"/>
                                                                                                                                        <w:left w:val="none" w:sz="0" w:space="0" w:color="auto"/>
                                                                                                                                        <w:bottom w:val="none" w:sz="0" w:space="0" w:color="auto"/>
                                                                                                                                        <w:right w:val="none" w:sz="0" w:space="0" w:color="auto"/>
                                                                                                                                      </w:divBdr>
                                                                                                                                    </w:div>
                                                                                                                                    <w:div w:id="1577324157">
                                                                                                                                      <w:marLeft w:val="0"/>
                                                                                                                                      <w:marRight w:val="0"/>
                                                                                                                                      <w:marTop w:val="0"/>
                                                                                                                                      <w:marBottom w:val="0"/>
                                                                                                                                      <w:divBdr>
                                                                                                                                        <w:top w:val="none" w:sz="0" w:space="0" w:color="auto"/>
                                                                                                                                        <w:left w:val="none" w:sz="0" w:space="0" w:color="auto"/>
                                                                                                                                        <w:bottom w:val="none" w:sz="0" w:space="0" w:color="auto"/>
                                                                                                                                        <w:right w:val="none" w:sz="0" w:space="0" w:color="auto"/>
                                                                                                                                      </w:divBdr>
                                                                                                                                    </w:div>
                                                                                                                                    <w:div w:id="1408962779">
                                                                                                                                      <w:marLeft w:val="0"/>
                                                                                                                                      <w:marRight w:val="0"/>
                                                                                                                                      <w:marTop w:val="0"/>
                                                                                                                                      <w:marBottom w:val="0"/>
                                                                                                                                      <w:divBdr>
                                                                                                                                        <w:top w:val="none" w:sz="0" w:space="0" w:color="auto"/>
                                                                                                                                        <w:left w:val="none" w:sz="0" w:space="0" w:color="auto"/>
                                                                                                                                        <w:bottom w:val="none" w:sz="0" w:space="0" w:color="auto"/>
                                                                                                                                        <w:right w:val="none" w:sz="0" w:space="0" w:color="auto"/>
                                                                                                                                      </w:divBdr>
                                                                                                                                    </w:div>
                                                                                                                                    <w:div w:id="658390002">
                                                                                                                                      <w:marLeft w:val="0"/>
                                                                                                                                      <w:marRight w:val="0"/>
                                                                                                                                      <w:marTop w:val="0"/>
                                                                                                                                      <w:marBottom w:val="0"/>
                                                                                                                                      <w:divBdr>
                                                                                                                                        <w:top w:val="none" w:sz="0" w:space="0" w:color="auto"/>
                                                                                                                                        <w:left w:val="none" w:sz="0" w:space="0" w:color="auto"/>
                                                                                                                                        <w:bottom w:val="none" w:sz="0" w:space="0" w:color="auto"/>
                                                                                                                                        <w:right w:val="none" w:sz="0" w:space="0" w:color="auto"/>
                                                                                                                                      </w:divBdr>
                                                                                                                                    </w:div>
                                                                                                                                    <w:div w:id="1215310058">
                                                                                                                                      <w:marLeft w:val="0"/>
                                                                                                                                      <w:marRight w:val="0"/>
                                                                                                                                      <w:marTop w:val="0"/>
                                                                                                                                      <w:marBottom w:val="0"/>
                                                                                                                                      <w:divBdr>
                                                                                                                                        <w:top w:val="none" w:sz="0" w:space="0" w:color="auto"/>
                                                                                                                                        <w:left w:val="none" w:sz="0" w:space="0" w:color="auto"/>
                                                                                                                                        <w:bottom w:val="none" w:sz="0" w:space="0" w:color="auto"/>
                                                                                                                                        <w:right w:val="none" w:sz="0" w:space="0" w:color="auto"/>
                                                                                                                                      </w:divBdr>
                                                                                                                                    </w:div>
                                                                                                                                    <w:div w:id="444542779">
                                                                                                                                      <w:marLeft w:val="0"/>
                                                                                                                                      <w:marRight w:val="0"/>
                                                                                                                                      <w:marTop w:val="0"/>
                                                                                                                                      <w:marBottom w:val="0"/>
                                                                                                                                      <w:divBdr>
                                                                                                                                        <w:top w:val="none" w:sz="0" w:space="0" w:color="auto"/>
                                                                                                                                        <w:left w:val="none" w:sz="0" w:space="0" w:color="auto"/>
                                                                                                                                        <w:bottom w:val="none" w:sz="0" w:space="0" w:color="auto"/>
                                                                                                                                        <w:right w:val="none" w:sz="0" w:space="0" w:color="auto"/>
                                                                                                                                      </w:divBdr>
                                                                                                                                    </w:div>
                                                                                                                                    <w:div w:id="2145810898">
                                                                                                                                      <w:marLeft w:val="0"/>
                                                                                                                                      <w:marRight w:val="0"/>
                                                                                                                                      <w:marTop w:val="0"/>
                                                                                                                                      <w:marBottom w:val="0"/>
                                                                                                                                      <w:divBdr>
                                                                                                                                        <w:top w:val="none" w:sz="0" w:space="0" w:color="auto"/>
                                                                                                                                        <w:left w:val="none" w:sz="0" w:space="0" w:color="auto"/>
                                                                                                                                        <w:bottom w:val="none" w:sz="0" w:space="0" w:color="auto"/>
                                                                                                                                        <w:right w:val="none" w:sz="0" w:space="0" w:color="auto"/>
                                                                                                                                      </w:divBdr>
                                                                                                                                    </w:div>
                                                                                                                                    <w:div w:id="118765581">
                                                                                                                                      <w:marLeft w:val="0"/>
                                                                                                                                      <w:marRight w:val="0"/>
                                                                                                                                      <w:marTop w:val="0"/>
                                                                                                                                      <w:marBottom w:val="0"/>
                                                                                                                                      <w:divBdr>
                                                                                                                                        <w:top w:val="none" w:sz="0" w:space="0" w:color="auto"/>
                                                                                                                                        <w:left w:val="none" w:sz="0" w:space="0" w:color="auto"/>
                                                                                                                                        <w:bottom w:val="none" w:sz="0" w:space="0" w:color="auto"/>
                                                                                                                                        <w:right w:val="none" w:sz="0" w:space="0" w:color="auto"/>
                                                                                                                                      </w:divBdr>
                                                                                                                                    </w:div>
                                                                                                                                    <w:div w:id="1879052108">
                                                                                                                                      <w:marLeft w:val="0"/>
                                                                                                                                      <w:marRight w:val="0"/>
                                                                                                                                      <w:marTop w:val="0"/>
                                                                                                                                      <w:marBottom w:val="0"/>
                                                                                                                                      <w:divBdr>
                                                                                                                                        <w:top w:val="none" w:sz="0" w:space="0" w:color="auto"/>
                                                                                                                                        <w:left w:val="none" w:sz="0" w:space="0" w:color="auto"/>
                                                                                                                                        <w:bottom w:val="none" w:sz="0" w:space="0" w:color="auto"/>
                                                                                                                                        <w:right w:val="none" w:sz="0" w:space="0" w:color="auto"/>
                                                                                                                                      </w:divBdr>
                                                                                                                                    </w:div>
                                                                                                                                    <w:div w:id="1914386025">
                                                                                                                                      <w:marLeft w:val="0"/>
                                                                                                                                      <w:marRight w:val="0"/>
                                                                                                                                      <w:marTop w:val="0"/>
                                                                                                                                      <w:marBottom w:val="0"/>
                                                                                                                                      <w:divBdr>
                                                                                                                                        <w:top w:val="none" w:sz="0" w:space="0" w:color="auto"/>
                                                                                                                                        <w:left w:val="none" w:sz="0" w:space="0" w:color="auto"/>
                                                                                                                                        <w:bottom w:val="none" w:sz="0" w:space="0" w:color="auto"/>
                                                                                                                                        <w:right w:val="none" w:sz="0" w:space="0" w:color="auto"/>
                                                                                                                                      </w:divBdr>
                                                                                                                                    </w:div>
                                                                                                                                    <w:div w:id="1908221655">
                                                                                                                                      <w:marLeft w:val="0"/>
                                                                                                                                      <w:marRight w:val="0"/>
                                                                                                                                      <w:marTop w:val="0"/>
                                                                                                                                      <w:marBottom w:val="0"/>
                                                                                                                                      <w:divBdr>
                                                                                                                                        <w:top w:val="none" w:sz="0" w:space="0" w:color="auto"/>
                                                                                                                                        <w:left w:val="none" w:sz="0" w:space="0" w:color="auto"/>
                                                                                                                                        <w:bottom w:val="none" w:sz="0" w:space="0" w:color="auto"/>
                                                                                                                                        <w:right w:val="none" w:sz="0" w:space="0" w:color="auto"/>
                                                                                                                                      </w:divBdr>
                                                                                                                                    </w:div>
                                                                                                                                    <w:div w:id="320279342">
                                                                                                                                      <w:marLeft w:val="0"/>
                                                                                                                                      <w:marRight w:val="0"/>
                                                                                                                                      <w:marTop w:val="0"/>
                                                                                                                                      <w:marBottom w:val="0"/>
                                                                                                                                      <w:divBdr>
                                                                                                                                        <w:top w:val="none" w:sz="0" w:space="0" w:color="auto"/>
                                                                                                                                        <w:left w:val="none" w:sz="0" w:space="0" w:color="auto"/>
                                                                                                                                        <w:bottom w:val="none" w:sz="0" w:space="0" w:color="auto"/>
                                                                                                                                        <w:right w:val="none" w:sz="0" w:space="0" w:color="auto"/>
                                                                                                                                      </w:divBdr>
                                                                                                                                    </w:div>
                                                                                                                                    <w:div w:id="1426347164">
                                                                                                                                      <w:marLeft w:val="0"/>
                                                                                                                                      <w:marRight w:val="0"/>
                                                                                                                                      <w:marTop w:val="0"/>
                                                                                                                                      <w:marBottom w:val="0"/>
                                                                                                                                      <w:divBdr>
                                                                                                                                        <w:top w:val="none" w:sz="0" w:space="0" w:color="auto"/>
                                                                                                                                        <w:left w:val="none" w:sz="0" w:space="0" w:color="auto"/>
                                                                                                                                        <w:bottom w:val="none" w:sz="0" w:space="0" w:color="auto"/>
                                                                                                                                        <w:right w:val="none" w:sz="0" w:space="0" w:color="auto"/>
                                                                                                                                      </w:divBdr>
                                                                                                                                    </w:div>
                                                                                                                                    <w:div w:id="1962876074">
                                                                                                                                      <w:marLeft w:val="0"/>
                                                                                                                                      <w:marRight w:val="0"/>
                                                                                                                                      <w:marTop w:val="0"/>
                                                                                                                                      <w:marBottom w:val="0"/>
                                                                                                                                      <w:divBdr>
                                                                                                                                        <w:top w:val="none" w:sz="0" w:space="0" w:color="auto"/>
                                                                                                                                        <w:left w:val="none" w:sz="0" w:space="0" w:color="auto"/>
                                                                                                                                        <w:bottom w:val="none" w:sz="0" w:space="0" w:color="auto"/>
                                                                                                                                        <w:right w:val="none" w:sz="0" w:space="0" w:color="auto"/>
                                                                                                                                      </w:divBdr>
                                                                                                                                    </w:div>
                                                                                                                                    <w:div w:id="1050226558">
                                                                                                                                      <w:marLeft w:val="0"/>
                                                                                                                                      <w:marRight w:val="0"/>
                                                                                                                                      <w:marTop w:val="0"/>
                                                                                                                                      <w:marBottom w:val="0"/>
                                                                                                                                      <w:divBdr>
                                                                                                                                        <w:top w:val="none" w:sz="0" w:space="0" w:color="auto"/>
                                                                                                                                        <w:left w:val="none" w:sz="0" w:space="0" w:color="auto"/>
                                                                                                                                        <w:bottom w:val="none" w:sz="0" w:space="0" w:color="auto"/>
                                                                                                                                        <w:right w:val="none" w:sz="0" w:space="0" w:color="auto"/>
                                                                                                                                      </w:divBdr>
                                                                                                                                    </w:div>
                                                                                                                                    <w:div w:id="296230558">
                                                                                                                                      <w:marLeft w:val="0"/>
                                                                                                                                      <w:marRight w:val="0"/>
                                                                                                                                      <w:marTop w:val="0"/>
                                                                                                                                      <w:marBottom w:val="0"/>
                                                                                                                                      <w:divBdr>
                                                                                                                                        <w:top w:val="none" w:sz="0" w:space="0" w:color="auto"/>
                                                                                                                                        <w:left w:val="none" w:sz="0" w:space="0" w:color="auto"/>
                                                                                                                                        <w:bottom w:val="none" w:sz="0" w:space="0" w:color="auto"/>
                                                                                                                                        <w:right w:val="none" w:sz="0" w:space="0" w:color="auto"/>
                                                                                                                                      </w:divBdr>
                                                                                                                                    </w:div>
                                                                                                                                    <w:div w:id="780800366">
                                                                                                                                      <w:marLeft w:val="0"/>
                                                                                                                                      <w:marRight w:val="0"/>
                                                                                                                                      <w:marTop w:val="0"/>
                                                                                                                                      <w:marBottom w:val="0"/>
                                                                                                                                      <w:divBdr>
                                                                                                                                        <w:top w:val="none" w:sz="0" w:space="0" w:color="auto"/>
                                                                                                                                        <w:left w:val="none" w:sz="0" w:space="0" w:color="auto"/>
                                                                                                                                        <w:bottom w:val="none" w:sz="0" w:space="0" w:color="auto"/>
                                                                                                                                        <w:right w:val="none" w:sz="0" w:space="0" w:color="auto"/>
                                                                                                                                      </w:divBdr>
                                                                                                                                    </w:div>
                                                                                                                                    <w:div w:id="879786536">
                                                                                                                                      <w:marLeft w:val="0"/>
                                                                                                                                      <w:marRight w:val="0"/>
                                                                                                                                      <w:marTop w:val="0"/>
                                                                                                                                      <w:marBottom w:val="0"/>
                                                                                                                                      <w:divBdr>
                                                                                                                                        <w:top w:val="none" w:sz="0" w:space="0" w:color="auto"/>
                                                                                                                                        <w:left w:val="none" w:sz="0" w:space="0" w:color="auto"/>
                                                                                                                                        <w:bottom w:val="none" w:sz="0" w:space="0" w:color="auto"/>
                                                                                                                                        <w:right w:val="none" w:sz="0" w:space="0" w:color="auto"/>
                                                                                                                                      </w:divBdr>
                                                                                                                                    </w:div>
                                                                                                                                    <w:div w:id="1893543803">
                                                                                                                                      <w:marLeft w:val="0"/>
                                                                                                                                      <w:marRight w:val="0"/>
                                                                                                                                      <w:marTop w:val="0"/>
                                                                                                                                      <w:marBottom w:val="0"/>
                                                                                                                                      <w:divBdr>
                                                                                                                                        <w:top w:val="none" w:sz="0" w:space="0" w:color="auto"/>
                                                                                                                                        <w:left w:val="none" w:sz="0" w:space="0" w:color="auto"/>
                                                                                                                                        <w:bottom w:val="none" w:sz="0" w:space="0" w:color="auto"/>
                                                                                                                                        <w:right w:val="none" w:sz="0" w:space="0" w:color="auto"/>
                                                                                                                                      </w:divBdr>
                                                                                                                                    </w:div>
                                                                                                                                    <w:div w:id="425227724">
                                                                                                                                      <w:marLeft w:val="0"/>
                                                                                                                                      <w:marRight w:val="0"/>
                                                                                                                                      <w:marTop w:val="0"/>
                                                                                                                                      <w:marBottom w:val="0"/>
                                                                                                                                      <w:divBdr>
                                                                                                                                        <w:top w:val="none" w:sz="0" w:space="0" w:color="auto"/>
                                                                                                                                        <w:left w:val="none" w:sz="0" w:space="0" w:color="auto"/>
                                                                                                                                        <w:bottom w:val="none" w:sz="0" w:space="0" w:color="auto"/>
                                                                                                                                        <w:right w:val="none" w:sz="0" w:space="0" w:color="auto"/>
                                                                                                                                      </w:divBdr>
                                                                                                                                    </w:div>
                                                                                                                                    <w:div w:id="1287278031">
                                                                                                                                      <w:marLeft w:val="0"/>
                                                                                                                                      <w:marRight w:val="0"/>
                                                                                                                                      <w:marTop w:val="0"/>
                                                                                                                                      <w:marBottom w:val="0"/>
                                                                                                                                      <w:divBdr>
                                                                                                                                        <w:top w:val="none" w:sz="0" w:space="0" w:color="auto"/>
                                                                                                                                        <w:left w:val="none" w:sz="0" w:space="0" w:color="auto"/>
                                                                                                                                        <w:bottom w:val="none" w:sz="0" w:space="0" w:color="auto"/>
                                                                                                                                        <w:right w:val="none" w:sz="0" w:space="0" w:color="auto"/>
                                                                                                                                      </w:divBdr>
                                                                                                                                    </w:div>
                                                                                                                                    <w:div w:id="402265464">
                                                                                                                                      <w:marLeft w:val="0"/>
                                                                                                                                      <w:marRight w:val="0"/>
                                                                                                                                      <w:marTop w:val="0"/>
                                                                                                                                      <w:marBottom w:val="0"/>
                                                                                                                                      <w:divBdr>
                                                                                                                                        <w:top w:val="none" w:sz="0" w:space="0" w:color="auto"/>
                                                                                                                                        <w:left w:val="none" w:sz="0" w:space="0" w:color="auto"/>
                                                                                                                                        <w:bottom w:val="none" w:sz="0" w:space="0" w:color="auto"/>
                                                                                                                                        <w:right w:val="none" w:sz="0" w:space="0" w:color="auto"/>
                                                                                                                                      </w:divBdr>
                                                                                                                                    </w:div>
                                                                                                                                    <w:div w:id="506135926">
                                                                                                                                      <w:marLeft w:val="0"/>
                                                                                                                                      <w:marRight w:val="0"/>
                                                                                                                                      <w:marTop w:val="0"/>
                                                                                                                                      <w:marBottom w:val="0"/>
                                                                                                                                      <w:divBdr>
                                                                                                                                        <w:top w:val="none" w:sz="0" w:space="0" w:color="auto"/>
                                                                                                                                        <w:left w:val="none" w:sz="0" w:space="0" w:color="auto"/>
                                                                                                                                        <w:bottom w:val="none" w:sz="0" w:space="0" w:color="auto"/>
                                                                                                                                        <w:right w:val="none" w:sz="0" w:space="0" w:color="auto"/>
                                                                                                                                      </w:divBdr>
                                                                                                                                    </w:div>
                                                                                                                                    <w:div w:id="23021254">
                                                                                                                                      <w:marLeft w:val="0"/>
                                                                                                                                      <w:marRight w:val="0"/>
                                                                                                                                      <w:marTop w:val="0"/>
                                                                                                                                      <w:marBottom w:val="0"/>
                                                                                                                                      <w:divBdr>
                                                                                                                                        <w:top w:val="none" w:sz="0" w:space="0" w:color="auto"/>
                                                                                                                                        <w:left w:val="none" w:sz="0" w:space="0" w:color="auto"/>
                                                                                                                                        <w:bottom w:val="none" w:sz="0" w:space="0" w:color="auto"/>
                                                                                                                                        <w:right w:val="none" w:sz="0" w:space="0" w:color="auto"/>
                                                                                                                                      </w:divBdr>
                                                                                                                                    </w:div>
                                                                                                                                    <w:div w:id="1003319593">
                                                                                                                                      <w:marLeft w:val="0"/>
                                                                                                                                      <w:marRight w:val="0"/>
                                                                                                                                      <w:marTop w:val="0"/>
                                                                                                                                      <w:marBottom w:val="0"/>
                                                                                                                                      <w:divBdr>
                                                                                                                                        <w:top w:val="none" w:sz="0" w:space="0" w:color="auto"/>
                                                                                                                                        <w:left w:val="none" w:sz="0" w:space="0" w:color="auto"/>
                                                                                                                                        <w:bottom w:val="none" w:sz="0" w:space="0" w:color="auto"/>
                                                                                                                                        <w:right w:val="none" w:sz="0" w:space="0" w:color="auto"/>
                                                                                                                                      </w:divBdr>
                                                                                                                                    </w:div>
                                                                                                                                    <w:div w:id="1353068130">
                                                                                                                                      <w:marLeft w:val="0"/>
                                                                                                                                      <w:marRight w:val="0"/>
                                                                                                                                      <w:marTop w:val="0"/>
                                                                                                                                      <w:marBottom w:val="0"/>
                                                                                                                                      <w:divBdr>
                                                                                                                                        <w:top w:val="none" w:sz="0" w:space="0" w:color="auto"/>
                                                                                                                                        <w:left w:val="none" w:sz="0" w:space="0" w:color="auto"/>
                                                                                                                                        <w:bottom w:val="none" w:sz="0" w:space="0" w:color="auto"/>
                                                                                                                                        <w:right w:val="none" w:sz="0" w:space="0" w:color="auto"/>
                                                                                                                                      </w:divBdr>
                                                                                                                                    </w:div>
                                                                                                                                    <w:div w:id="39089816">
                                                                                                                                      <w:marLeft w:val="0"/>
                                                                                                                                      <w:marRight w:val="0"/>
                                                                                                                                      <w:marTop w:val="0"/>
                                                                                                                                      <w:marBottom w:val="0"/>
                                                                                                                                      <w:divBdr>
                                                                                                                                        <w:top w:val="none" w:sz="0" w:space="0" w:color="auto"/>
                                                                                                                                        <w:left w:val="none" w:sz="0" w:space="0" w:color="auto"/>
                                                                                                                                        <w:bottom w:val="none" w:sz="0" w:space="0" w:color="auto"/>
                                                                                                                                        <w:right w:val="none" w:sz="0" w:space="0" w:color="auto"/>
                                                                                                                                      </w:divBdr>
                                                                                                                                    </w:div>
                                                                                                                                    <w:div w:id="1103837507">
                                                                                                                                      <w:marLeft w:val="0"/>
                                                                                                                                      <w:marRight w:val="0"/>
                                                                                                                                      <w:marTop w:val="0"/>
                                                                                                                                      <w:marBottom w:val="0"/>
                                                                                                                                      <w:divBdr>
                                                                                                                                        <w:top w:val="none" w:sz="0" w:space="0" w:color="auto"/>
                                                                                                                                        <w:left w:val="none" w:sz="0" w:space="0" w:color="auto"/>
                                                                                                                                        <w:bottom w:val="none" w:sz="0" w:space="0" w:color="auto"/>
                                                                                                                                        <w:right w:val="none" w:sz="0" w:space="0" w:color="auto"/>
                                                                                                                                      </w:divBdr>
                                                                                                                                    </w:div>
                                                                                                                                    <w:div w:id="1338926650">
                                                                                                                                      <w:marLeft w:val="0"/>
                                                                                                                                      <w:marRight w:val="0"/>
                                                                                                                                      <w:marTop w:val="0"/>
                                                                                                                                      <w:marBottom w:val="0"/>
                                                                                                                                      <w:divBdr>
                                                                                                                                        <w:top w:val="none" w:sz="0" w:space="0" w:color="auto"/>
                                                                                                                                        <w:left w:val="none" w:sz="0" w:space="0" w:color="auto"/>
                                                                                                                                        <w:bottom w:val="none" w:sz="0" w:space="0" w:color="auto"/>
                                                                                                                                        <w:right w:val="none" w:sz="0" w:space="0" w:color="auto"/>
                                                                                                                                      </w:divBdr>
                                                                                                                                    </w:div>
                                                                                                                                    <w:div w:id="1418868930">
                                                                                                                                      <w:marLeft w:val="0"/>
                                                                                                                                      <w:marRight w:val="0"/>
                                                                                                                                      <w:marTop w:val="0"/>
                                                                                                                                      <w:marBottom w:val="0"/>
                                                                                                                                      <w:divBdr>
                                                                                                                                        <w:top w:val="none" w:sz="0" w:space="0" w:color="auto"/>
                                                                                                                                        <w:left w:val="none" w:sz="0" w:space="0" w:color="auto"/>
                                                                                                                                        <w:bottom w:val="none" w:sz="0" w:space="0" w:color="auto"/>
                                                                                                                                        <w:right w:val="none" w:sz="0" w:space="0" w:color="auto"/>
                                                                                                                                      </w:divBdr>
                                                                                                                                    </w:div>
                                                                                                                                    <w:div w:id="2129272328">
                                                                                                                                      <w:marLeft w:val="0"/>
                                                                                                                                      <w:marRight w:val="0"/>
                                                                                                                                      <w:marTop w:val="0"/>
                                                                                                                                      <w:marBottom w:val="0"/>
                                                                                                                                      <w:divBdr>
                                                                                                                                        <w:top w:val="none" w:sz="0" w:space="0" w:color="auto"/>
                                                                                                                                        <w:left w:val="none" w:sz="0" w:space="0" w:color="auto"/>
                                                                                                                                        <w:bottom w:val="none" w:sz="0" w:space="0" w:color="auto"/>
                                                                                                                                        <w:right w:val="none" w:sz="0" w:space="0" w:color="auto"/>
                                                                                                                                      </w:divBdr>
                                                                                                                                    </w:div>
                                                                                                                                    <w:div w:id="626858045">
                                                                                                                                      <w:marLeft w:val="0"/>
                                                                                                                                      <w:marRight w:val="0"/>
                                                                                                                                      <w:marTop w:val="0"/>
                                                                                                                                      <w:marBottom w:val="0"/>
                                                                                                                                      <w:divBdr>
                                                                                                                                        <w:top w:val="none" w:sz="0" w:space="0" w:color="auto"/>
                                                                                                                                        <w:left w:val="none" w:sz="0" w:space="0" w:color="auto"/>
                                                                                                                                        <w:bottom w:val="none" w:sz="0" w:space="0" w:color="auto"/>
                                                                                                                                        <w:right w:val="none" w:sz="0" w:space="0" w:color="auto"/>
                                                                                                                                      </w:divBdr>
                                                                                                                                    </w:div>
                                                                                                                                    <w:div w:id="2098749523">
                                                                                                                                      <w:marLeft w:val="0"/>
                                                                                                                                      <w:marRight w:val="0"/>
                                                                                                                                      <w:marTop w:val="0"/>
                                                                                                                                      <w:marBottom w:val="0"/>
                                                                                                                                      <w:divBdr>
                                                                                                                                        <w:top w:val="none" w:sz="0" w:space="0" w:color="auto"/>
                                                                                                                                        <w:left w:val="none" w:sz="0" w:space="0" w:color="auto"/>
                                                                                                                                        <w:bottom w:val="none" w:sz="0" w:space="0" w:color="auto"/>
                                                                                                                                        <w:right w:val="none" w:sz="0" w:space="0" w:color="auto"/>
                                                                                                                                      </w:divBdr>
                                                                                                                                    </w:div>
                                                                                                                                    <w:div w:id="21039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03208">
                                                                                                              <w:marLeft w:val="0"/>
                                                                                                              <w:marRight w:val="0"/>
                                                                                                              <w:marTop w:val="0"/>
                                                                                                              <w:marBottom w:val="0"/>
                                                                                                              <w:divBdr>
                                                                                                                <w:top w:val="none" w:sz="0" w:space="0" w:color="auto"/>
                                                                                                                <w:left w:val="none" w:sz="0" w:space="0" w:color="auto"/>
                                                                                                                <w:bottom w:val="none" w:sz="0" w:space="0" w:color="auto"/>
                                                                                                                <w:right w:val="none" w:sz="0" w:space="0" w:color="auto"/>
                                                                                                              </w:divBdr>
                                                                                                              <w:divsChild>
                                                                                                                <w:div w:id="355929099">
                                                                                                                  <w:marLeft w:val="0"/>
                                                                                                                  <w:marRight w:val="0"/>
                                                                                                                  <w:marTop w:val="0"/>
                                                                                                                  <w:marBottom w:val="0"/>
                                                                                                                  <w:divBdr>
                                                                                                                    <w:top w:val="none" w:sz="0" w:space="0" w:color="auto"/>
                                                                                                                    <w:left w:val="none" w:sz="0" w:space="0" w:color="auto"/>
                                                                                                                    <w:bottom w:val="none" w:sz="0" w:space="0" w:color="auto"/>
                                                                                                                    <w:right w:val="none" w:sz="0" w:space="0" w:color="auto"/>
                                                                                                                  </w:divBdr>
                                                                                                                  <w:divsChild>
                                                                                                                    <w:div w:id="1141923387">
                                                                                                                      <w:marLeft w:val="0"/>
                                                                                                                      <w:marRight w:val="0"/>
                                                                                                                      <w:marTop w:val="0"/>
                                                                                                                      <w:marBottom w:val="0"/>
                                                                                                                      <w:divBdr>
                                                                                                                        <w:top w:val="none" w:sz="0" w:space="0" w:color="auto"/>
                                                                                                                        <w:left w:val="none" w:sz="0" w:space="0" w:color="auto"/>
                                                                                                                        <w:bottom w:val="none" w:sz="0" w:space="0" w:color="auto"/>
                                                                                                                        <w:right w:val="none" w:sz="0" w:space="0" w:color="auto"/>
                                                                                                                      </w:divBdr>
                                                                                                                      <w:divsChild>
                                                                                                                        <w:div w:id="1764716904">
                                                                                                                          <w:marLeft w:val="0"/>
                                                                                                                          <w:marRight w:val="0"/>
                                                                                                                          <w:marTop w:val="0"/>
                                                                                                                          <w:marBottom w:val="0"/>
                                                                                                                          <w:divBdr>
                                                                                                                            <w:top w:val="none" w:sz="0" w:space="0" w:color="auto"/>
                                                                                                                            <w:left w:val="none" w:sz="0" w:space="0" w:color="auto"/>
                                                                                                                            <w:bottom w:val="none" w:sz="0" w:space="0" w:color="auto"/>
                                                                                                                            <w:right w:val="none" w:sz="0" w:space="0" w:color="auto"/>
                                                                                                                          </w:divBdr>
                                                                                                                          <w:divsChild>
                                                                                                                            <w:div w:id="1395369">
                                                                                                                              <w:marLeft w:val="0"/>
                                                                                                                              <w:marRight w:val="0"/>
                                                                                                                              <w:marTop w:val="0"/>
                                                                                                                              <w:marBottom w:val="0"/>
                                                                                                                              <w:divBdr>
                                                                                                                                <w:top w:val="none" w:sz="0" w:space="0" w:color="auto"/>
                                                                                                                                <w:left w:val="none" w:sz="0" w:space="0" w:color="auto"/>
                                                                                                                                <w:bottom w:val="none" w:sz="0" w:space="0" w:color="auto"/>
                                                                                                                                <w:right w:val="none" w:sz="0" w:space="0" w:color="auto"/>
                                                                                                                              </w:divBdr>
                                                                                                                              <w:divsChild>
                                                                                                                                <w:div w:id="15488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9295666">
          <w:marLeft w:val="0"/>
          <w:marRight w:val="0"/>
          <w:marTop w:val="0"/>
          <w:marBottom w:val="0"/>
          <w:divBdr>
            <w:top w:val="none" w:sz="0" w:space="0" w:color="auto"/>
            <w:left w:val="none" w:sz="0" w:space="0" w:color="auto"/>
            <w:bottom w:val="none" w:sz="0" w:space="0" w:color="auto"/>
            <w:right w:val="none" w:sz="0" w:space="0" w:color="auto"/>
          </w:divBdr>
        </w:div>
      </w:divsChild>
    </w:div>
    <w:div w:id="1471167066">
      <w:bodyDiv w:val="1"/>
      <w:marLeft w:val="0"/>
      <w:marRight w:val="0"/>
      <w:marTop w:val="0"/>
      <w:marBottom w:val="0"/>
      <w:divBdr>
        <w:top w:val="none" w:sz="0" w:space="0" w:color="auto"/>
        <w:left w:val="none" w:sz="0" w:space="0" w:color="auto"/>
        <w:bottom w:val="none" w:sz="0" w:space="0" w:color="auto"/>
        <w:right w:val="none" w:sz="0" w:space="0" w:color="auto"/>
      </w:divBdr>
    </w:div>
    <w:div w:id="1746763131">
      <w:bodyDiv w:val="1"/>
      <w:marLeft w:val="0"/>
      <w:marRight w:val="0"/>
      <w:marTop w:val="0"/>
      <w:marBottom w:val="0"/>
      <w:divBdr>
        <w:top w:val="none" w:sz="0" w:space="0" w:color="auto"/>
        <w:left w:val="none" w:sz="0" w:space="0" w:color="auto"/>
        <w:bottom w:val="none" w:sz="0" w:space="0" w:color="auto"/>
        <w:right w:val="none" w:sz="0" w:space="0" w:color="auto"/>
      </w:divBdr>
      <w:divsChild>
        <w:div w:id="1314797314">
          <w:marLeft w:val="0"/>
          <w:marRight w:val="0"/>
          <w:marTop w:val="0"/>
          <w:marBottom w:val="0"/>
          <w:divBdr>
            <w:top w:val="none" w:sz="0" w:space="0" w:color="auto"/>
            <w:left w:val="none" w:sz="0" w:space="0" w:color="auto"/>
            <w:bottom w:val="none" w:sz="0" w:space="0" w:color="auto"/>
            <w:right w:val="none" w:sz="0" w:space="0" w:color="auto"/>
          </w:divBdr>
          <w:divsChild>
            <w:div w:id="266816382">
              <w:marLeft w:val="0"/>
              <w:marRight w:val="0"/>
              <w:marTop w:val="0"/>
              <w:marBottom w:val="0"/>
              <w:divBdr>
                <w:top w:val="none" w:sz="0" w:space="0" w:color="auto"/>
                <w:left w:val="none" w:sz="0" w:space="0" w:color="auto"/>
                <w:bottom w:val="none" w:sz="0" w:space="0" w:color="auto"/>
                <w:right w:val="none" w:sz="0" w:space="0" w:color="auto"/>
              </w:divBdr>
              <w:divsChild>
                <w:div w:id="564995192">
                  <w:marLeft w:val="0"/>
                  <w:marRight w:val="0"/>
                  <w:marTop w:val="0"/>
                  <w:marBottom w:val="0"/>
                  <w:divBdr>
                    <w:top w:val="none" w:sz="0" w:space="0" w:color="auto"/>
                    <w:left w:val="none" w:sz="0" w:space="0" w:color="auto"/>
                    <w:bottom w:val="none" w:sz="0" w:space="0" w:color="auto"/>
                    <w:right w:val="none" w:sz="0" w:space="0" w:color="auto"/>
                  </w:divBdr>
                  <w:divsChild>
                    <w:div w:id="1199583026">
                      <w:marLeft w:val="0"/>
                      <w:marRight w:val="0"/>
                      <w:marTop w:val="120"/>
                      <w:marBottom w:val="0"/>
                      <w:divBdr>
                        <w:top w:val="none" w:sz="0" w:space="0" w:color="auto"/>
                        <w:left w:val="none" w:sz="0" w:space="0" w:color="auto"/>
                        <w:bottom w:val="none" w:sz="0" w:space="0" w:color="auto"/>
                        <w:right w:val="none" w:sz="0" w:space="0" w:color="auto"/>
                      </w:divBdr>
                      <w:divsChild>
                        <w:div w:id="1076199158">
                          <w:marLeft w:val="0"/>
                          <w:marRight w:val="0"/>
                          <w:marTop w:val="0"/>
                          <w:marBottom w:val="0"/>
                          <w:divBdr>
                            <w:top w:val="none" w:sz="0" w:space="0" w:color="auto"/>
                            <w:left w:val="none" w:sz="0" w:space="0" w:color="auto"/>
                            <w:bottom w:val="none" w:sz="0" w:space="0" w:color="auto"/>
                            <w:right w:val="none" w:sz="0" w:space="0" w:color="auto"/>
                          </w:divBdr>
                          <w:divsChild>
                            <w:div w:id="10951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593975">
          <w:marLeft w:val="0"/>
          <w:marRight w:val="0"/>
          <w:marTop w:val="0"/>
          <w:marBottom w:val="0"/>
          <w:divBdr>
            <w:top w:val="none" w:sz="0" w:space="0" w:color="auto"/>
            <w:left w:val="none" w:sz="0" w:space="0" w:color="auto"/>
            <w:bottom w:val="none" w:sz="0" w:space="0" w:color="auto"/>
            <w:right w:val="none" w:sz="0" w:space="0" w:color="auto"/>
          </w:divBdr>
          <w:divsChild>
            <w:div w:id="1660233353">
              <w:marLeft w:val="0"/>
              <w:marRight w:val="0"/>
              <w:marTop w:val="0"/>
              <w:marBottom w:val="0"/>
              <w:divBdr>
                <w:top w:val="none" w:sz="0" w:space="0" w:color="auto"/>
                <w:left w:val="none" w:sz="0" w:space="0" w:color="auto"/>
                <w:bottom w:val="none" w:sz="0" w:space="0" w:color="auto"/>
                <w:right w:val="none" w:sz="0" w:space="0" w:color="auto"/>
              </w:divBdr>
              <w:divsChild>
                <w:div w:id="1012299800">
                  <w:marLeft w:val="0"/>
                  <w:marRight w:val="0"/>
                  <w:marTop w:val="0"/>
                  <w:marBottom w:val="0"/>
                  <w:divBdr>
                    <w:top w:val="none" w:sz="0" w:space="0" w:color="auto"/>
                    <w:left w:val="none" w:sz="0" w:space="0" w:color="auto"/>
                    <w:bottom w:val="none" w:sz="0" w:space="0" w:color="auto"/>
                    <w:right w:val="none" w:sz="0" w:space="0" w:color="auto"/>
                  </w:divBdr>
                  <w:divsChild>
                    <w:div w:id="1139493291">
                      <w:marLeft w:val="0"/>
                      <w:marRight w:val="0"/>
                      <w:marTop w:val="0"/>
                      <w:marBottom w:val="0"/>
                      <w:divBdr>
                        <w:top w:val="none" w:sz="0" w:space="0" w:color="auto"/>
                        <w:left w:val="none" w:sz="0" w:space="0" w:color="auto"/>
                        <w:bottom w:val="none" w:sz="0" w:space="0" w:color="auto"/>
                        <w:right w:val="none" w:sz="0" w:space="0" w:color="auto"/>
                      </w:divBdr>
                      <w:divsChild>
                        <w:div w:id="1769764832">
                          <w:marLeft w:val="0"/>
                          <w:marRight w:val="0"/>
                          <w:marTop w:val="0"/>
                          <w:marBottom w:val="0"/>
                          <w:divBdr>
                            <w:top w:val="none" w:sz="0" w:space="0" w:color="auto"/>
                            <w:left w:val="none" w:sz="0" w:space="0" w:color="auto"/>
                            <w:bottom w:val="none" w:sz="0" w:space="0" w:color="auto"/>
                            <w:right w:val="none" w:sz="0" w:space="0" w:color="auto"/>
                          </w:divBdr>
                          <w:divsChild>
                            <w:div w:id="16810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684382">
      <w:bodyDiv w:val="1"/>
      <w:marLeft w:val="0"/>
      <w:marRight w:val="0"/>
      <w:marTop w:val="0"/>
      <w:marBottom w:val="0"/>
      <w:divBdr>
        <w:top w:val="none" w:sz="0" w:space="0" w:color="auto"/>
        <w:left w:val="none" w:sz="0" w:space="0" w:color="auto"/>
        <w:bottom w:val="none" w:sz="0" w:space="0" w:color="auto"/>
        <w:right w:val="none" w:sz="0" w:space="0" w:color="auto"/>
      </w:divBdr>
    </w:div>
    <w:div w:id="188482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47553-BE4D-4EBD-A1CE-77BC4D451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14836</Words>
  <Characters>84571</Characters>
  <Application>Microsoft Office Word</Application>
  <DocSecurity>0</DocSecurity>
  <Lines>704</Lines>
  <Paragraphs>198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99209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2018-12-31T13:05:00Z</dcterms:created>
  <dcterms:modified xsi:type="dcterms:W3CDTF">2019-01-02T09:03:00Z</dcterms:modified>
</cp:coreProperties>
</file>